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11" w:rsidRPr="00352611" w:rsidRDefault="00352611" w:rsidP="00352611">
      <w:pPr>
        <w:spacing w:line="360" w:lineRule="auto"/>
        <w:rPr>
          <w:b/>
          <w:color w:val="0D0D0D" w:themeColor="text1" w:themeTint="F2"/>
          <w:sz w:val="48"/>
          <w:szCs w:val="48"/>
        </w:rPr>
      </w:pPr>
      <w:r w:rsidRPr="00352611">
        <w:rPr>
          <w:b/>
          <w:color w:val="0D0D0D" w:themeColor="text1" w:themeTint="F2"/>
          <w:sz w:val="48"/>
          <w:szCs w:val="48"/>
        </w:rPr>
        <w:t>1. INTRODUCTION</w:t>
      </w:r>
    </w:p>
    <w:p w:rsidR="00352611" w:rsidRPr="00352611" w:rsidRDefault="00352611" w:rsidP="00352611">
      <w:pPr>
        <w:spacing w:line="360" w:lineRule="auto"/>
        <w:rPr>
          <w:b/>
          <w:color w:val="0D0D0D" w:themeColor="text1" w:themeTint="F2"/>
          <w:sz w:val="48"/>
          <w:szCs w:val="48"/>
        </w:rPr>
      </w:pPr>
      <w:r w:rsidRPr="00352611">
        <w:rPr>
          <w:b/>
          <w:color w:val="0D0D0D" w:themeColor="text1" w:themeTint="F2"/>
          <w:sz w:val="48"/>
          <w:szCs w:val="48"/>
        </w:rPr>
        <w:t>2. Materials</w:t>
      </w:r>
    </w:p>
    <w:p w:rsidR="00352611" w:rsidRPr="00352611" w:rsidRDefault="006C65E0" w:rsidP="00352611">
      <w:pPr>
        <w:spacing w:line="360" w:lineRule="auto"/>
        <w:rPr>
          <w:b/>
          <w:color w:val="0D0D0D" w:themeColor="text1" w:themeTint="F2"/>
          <w:sz w:val="48"/>
          <w:szCs w:val="48"/>
        </w:rPr>
      </w:pPr>
      <w:r>
        <w:rPr>
          <w:b/>
          <w:color w:val="0D0D0D" w:themeColor="text1" w:themeTint="F2"/>
          <w:sz w:val="48"/>
          <w:szCs w:val="48"/>
        </w:rPr>
        <w:t>2.1.1</w:t>
      </w:r>
      <w:r w:rsidR="00F5239C">
        <w:rPr>
          <w:b/>
          <w:color w:val="0D0D0D" w:themeColor="text1" w:themeTint="F2"/>
          <w:sz w:val="48"/>
          <w:szCs w:val="48"/>
        </w:rPr>
        <w:t xml:space="preserve"> </w:t>
      </w:r>
      <w:r>
        <w:rPr>
          <w:b/>
          <w:color w:val="0D0D0D" w:themeColor="text1" w:themeTint="F2"/>
          <w:sz w:val="48"/>
          <w:szCs w:val="48"/>
        </w:rPr>
        <w:t>Rice Husk Ash (RHA)</w:t>
      </w:r>
    </w:p>
    <w:p w:rsidR="00352611" w:rsidRPr="00352611" w:rsidRDefault="00352611" w:rsidP="00352611">
      <w:pPr>
        <w:spacing w:line="360" w:lineRule="auto"/>
        <w:rPr>
          <w:b/>
          <w:color w:val="0D0D0D" w:themeColor="text1" w:themeTint="F2"/>
          <w:sz w:val="48"/>
          <w:szCs w:val="48"/>
        </w:rPr>
      </w:pPr>
      <w:r w:rsidRPr="00352611">
        <w:rPr>
          <w:b/>
          <w:color w:val="0D0D0D" w:themeColor="text1" w:themeTint="F2"/>
          <w:sz w:val="48"/>
          <w:szCs w:val="48"/>
        </w:rPr>
        <w:t>2.1.2</w:t>
      </w:r>
      <w:r w:rsidR="00F5239C">
        <w:rPr>
          <w:b/>
          <w:color w:val="0D0D0D" w:themeColor="text1" w:themeTint="F2"/>
          <w:sz w:val="48"/>
          <w:szCs w:val="48"/>
        </w:rPr>
        <w:t xml:space="preserve"> </w:t>
      </w:r>
      <w:r w:rsidRPr="00352611">
        <w:rPr>
          <w:b/>
          <w:color w:val="0D0D0D" w:themeColor="text1" w:themeTint="F2"/>
          <w:sz w:val="48"/>
          <w:szCs w:val="48"/>
        </w:rPr>
        <w:t>Aggregates</w:t>
      </w:r>
    </w:p>
    <w:p w:rsidR="00352611" w:rsidRPr="00352611" w:rsidRDefault="00352611" w:rsidP="00352611">
      <w:pPr>
        <w:spacing w:line="360" w:lineRule="auto"/>
        <w:rPr>
          <w:b/>
          <w:color w:val="0D0D0D" w:themeColor="text1" w:themeTint="F2"/>
          <w:sz w:val="48"/>
          <w:szCs w:val="48"/>
        </w:rPr>
      </w:pPr>
      <w:r w:rsidRPr="00352611">
        <w:rPr>
          <w:b/>
          <w:color w:val="0D0D0D" w:themeColor="text1" w:themeTint="F2"/>
          <w:sz w:val="48"/>
          <w:szCs w:val="48"/>
        </w:rPr>
        <w:t xml:space="preserve">2.1.3 </w:t>
      </w:r>
      <w:bookmarkStart w:id="0" w:name="_GoBack"/>
      <w:bookmarkEnd w:id="0"/>
      <w:r w:rsidRPr="00352611">
        <w:rPr>
          <w:b/>
          <w:color w:val="0D0D0D" w:themeColor="text1" w:themeTint="F2"/>
          <w:sz w:val="48"/>
          <w:szCs w:val="48"/>
        </w:rPr>
        <w:t>Water</w:t>
      </w:r>
    </w:p>
    <w:p w:rsidR="00352611" w:rsidRPr="00352611" w:rsidRDefault="00352611" w:rsidP="00352611">
      <w:pPr>
        <w:spacing w:line="360" w:lineRule="auto"/>
        <w:rPr>
          <w:b/>
          <w:color w:val="0D0D0D" w:themeColor="text1" w:themeTint="F2"/>
          <w:sz w:val="48"/>
          <w:szCs w:val="48"/>
        </w:rPr>
      </w:pPr>
      <w:r w:rsidRPr="00352611">
        <w:rPr>
          <w:b/>
          <w:color w:val="0D0D0D" w:themeColor="text1" w:themeTint="F2"/>
          <w:sz w:val="48"/>
          <w:szCs w:val="48"/>
        </w:rPr>
        <w:t>3. MATERIALS AND METHODS</w:t>
      </w:r>
    </w:p>
    <w:p w:rsidR="00352611" w:rsidRPr="00352611" w:rsidRDefault="00352611" w:rsidP="00352611">
      <w:pPr>
        <w:spacing w:line="360" w:lineRule="auto"/>
        <w:rPr>
          <w:b/>
          <w:color w:val="0D0D0D" w:themeColor="text1" w:themeTint="F2"/>
          <w:sz w:val="48"/>
          <w:szCs w:val="48"/>
        </w:rPr>
      </w:pPr>
      <w:r w:rsidRPr="00352611">
        <w:rPr>
          <w:b/>
          <w:color w:val="0D0D0D" w:themeColor="text1" w:themeTint="F2"/>
          <w:sz w:val="48"/>
          <w:szCs w:val="48"/>
        </w:rPr>
        <w:t>4. RESULTS AND DISCUSSION</w:t>
      </w:r>
    </w:p>
    <w:p w:rsidR="0064000C" w:rsidRPr="00352611" w:rsidRDefault="00352611" w:rsidP="00352611">
      <w:pPr>
        <w:spacing w:line="360" w:lineRule="auto"/>
        <w:rPr>
          <w:b/>
          <w:color w:val="0D0D0D" w:themeColor="text1" w:themeTint="F2"/>
          <w:sz w:val="48"/>
          <w:szCs w:val="48"/>
          <w:highlight w:val="green"/>
        </w:rPr>
      </w:pPr>
      <w:r w:rsidRPr="00352611">
        <w:rPr>
          <w:b/>
          <w:color w:val="0D0D0D" w:themeColor="text1" w:themeTint="F2"/>
          <w:sz w:val="48"/>
          <w:szCs w:val="48"/>
        </w:rPr>
        <w:t>5. CONCLUSION</w:t>
      </w:r>
    </w:p>
    <w:p w:rsidR="0064000C" w:rsidRPr="00352611" w:rsidRDefault="0064000C" w:rsidP="00352611">
      <w:pPr>
        <w:spacing w:line="360" w:lineRule="auto"/>
        <w:rPr>
          <w:b/>
          <w:color w:val="0D0D0D" w:themeColor="text1" w:themeTint="F2"/>
          <w:sz w:val="20"/>
          <w:szCs w:val="20"/>
          <w:highlight w:val="green"/>
        </w:rPr>
      </w:pPr>
    </w:p>
    <w:p w:rsidR="0064000C" w:rsidRDefault="0064000C" w:rsidP="00352611">
      <w:pPr>
        <w:spacing w:line="360" w:lineRule="auto"/>
        <w:rPr>
          <w:b/>
          <w:sz w:val="20"/>
          <w:szCs w:val="20"/>
          <w:highlight w:val="green"/>
        </w:rPr>
      </w:pPr>
    </w:p>
    <w:p w:rsidR="0064000C" w:rsidRDefault="0064000C" w:rsidP="008411EA">
      <w:pPr>
        <w:rPr>
          <w:b/>
          <w:sz w:val="20"/>
          <w:szCs w:val="20"/>
          <w:highlight w:val="green"/>
        </w:rPr>
      </w:pPr>
    </w:p>
    <w:p w:rsidR="0064000C" w:rsidRDefault="0064000C" w:rsidP="008411EA">
      <w:pPr>
        <w:rPr>
          <w:b/>
          <w:sz w:val="20"/>
          <w:szCs w:val="20"/>
          <w:highlight w:val="green"/>
        </w:rPr>
      </w:pPr>
    </w:p>
    <w:p w:rsidR="0064000C" w:rsidRDefault="0064000C" w:rsidP="008411EA">
      <w:pPr>
        <w:rPr>
          <w:b/>
          <w:sz w:val="20"/>
          <w:szCs w:val="20"/>
          <w:highlight w:val="green"/>
        </w:rPr>
      </w:pPr>
    </w:p>
    <w:p w:rsidR="0064000C" w:rsidRDefault="0064000C" w:rsidP="008411EA">
      <w:pPr>
        <w:rPr>
          <w:b/>
          <w:sz w:val="20"/>
          <w:szCs w:val="20"/>
          <w:highlight w:val="green"/>
        </w:rPr>
      </w:pPr>
    </w:p>
    <w:p w:rsidR="0064000C" w:rsidRDefault="0064000C" w:rsidP="008411EA">
      <w:pPr>
        <w:rPr>
          <w:b/>
          <w:sz w:val="20"/>
          <w:szCs w:val="20"/>
          <w:highlight w:val="green"/>
        </w:rPr>
      </w:pPr>
    </w:p>
    <w:p w:rsidR="0064000C" w:rsidRDefault="0064000C" w:rsidP="008411EA">
      <w:pPr>
        <w:rPr>
          <w:b/>
          <w:sz w:val="20"/>
          <w:szCs w:val="20"/>
          <w:highlight w:val="green"/>
        </w:rPr>
      </w:pPr>
    </w:p>
    <w:p w:rsidR="0064000C" w:rsidRDefault="0064000C" w:rsidP="008411EA">
      <w:pPr>
        <w:rPr>
          <w:b/>
          <w:sz w:val="20"/>
          <w:szCs w:val="20"/>
          <w:highlight w:val="green"/>
        </w:rPr>
      </w:pPr>
    </w:p>
    <w:p w:rsidR="00352611" w:rsidRDefault="00352611" w:rsidP="008411EA">
      <w:pPr>
        <w:rPr>
          <w:b/>
          <w:sz w:val="20"/>
          <w:szCs w:val="20"/>
          <w:highlight w:val="green"/>
        </w:rPr>
      </w:pPr>
    </w:p>
    <w:p w:rsidR="008411EA" w:rsidRPr="00787A25" w:rsidRDefault="008411EA" w:rsidP="008411EA">
      <w:pPr>
        <w:rPr>
          <w:b/>
          <w:sz w:val="20"/>
          <w:szCs w:val="20"/>
        </w:rPr>
      </w:pPr>
      <w:r w:rsidRPr="00787A25">
        <w:rPr>
          <w:b/>
          <w:sz w:val="20"/>
          <w:szCs w:val="20"/>
          <w:highlight w:val="green"/>
        </w:rPr>
        <w:lastRenderedPageBreak/>
        <w:t>Compressive strength of concrete with rice husk ash as partial replacement of ordinary Portland cement</w:t>
      </w:r>
    </w:p>
    <w:p w:rsidR="008411EA" w:rsidRPr="004848F6" w:rsidRDefault="008411EA" w:rsidP="008411EA">
      <w:pPr>
        <w:rPr>
          <w:b/>
        </w:rPr>
      </w:pPr>
      <w:r w:rsidRPr="004848F6">
        <w:rPr>
          <w:b/>
          <w:highlight w:val="yellow"/>
        </w:rPr>
        <w:t>1. INTRODUCTION</w:t>
      </w:r>
    </w:p>
    <w:p w:rsidR="008411EA" w:rsidRPr="00787A25" w:rsidRDefault="008411EA" w:rsidP="008411EA">
      <w:pPr>
        <w:rPr>
          <w:b/>
          <w:sz w:val="20"/>
          <w:szCs w:val="20"/>
        </w:rPr>
      </w:pPr>
      <w:r w:rsidRPr="00787A25">
        <w:rPr>
          <w:b/>
          <w:sz w:val="20"/>
          <w:szCs w:val="20"/>
        </w:rPr>
        <w:t xml:space="preserve"> Rice husk ash is an agricultural waste which is produced in millions of tons. Waste managers have found it difficult over the years to dispose this agro-waste. Rice husk ash (RHA) is obtained by the combustion of rice husk and has been found to be super pozzolanic. RHA is a highly reactive pozzolanic material suitable for use in lime- pozzolan mixes and for Portland cement replacement. RHA is very reach in silicon dioxide which makes it very reactive with lime due to its non-crystalline silica content and its specific surface.</w:t>
      </w:r>
    </w:p>
    <w:p w:rsidR="008411EA" w:rsidRPr="00787A25" w:rsidRDefault="008411EA" w:rsidP="008411EA">
      <w:pPr>
        <w:rPr>
          <w:b/>
          <w:sz w:val="20"/>
          <w:szCs w:val="20"/>
        </w:rPr>
      </w:pPr>
      <w:r w:rsidRPr="00787A25">
        <w:rPr>
          <w:b/>
          <w:sz w:val="20"/>
          <w:szCs w:val="20"/>
        </w:rPr>
        <w:t>There is an increasing importance to preserve the environment in the present day world. Rice Husk Ash (RHA) from the parboiling plants is posing a serious environmental threat and ways are being thought of to dispose them. This material is actually a super-pozzolan since it is rich in Silica and has about 85% to 90% Silica content. A good way of utilizing this material is to use it for making “High Performance Concrete” which means high workability and long-term durability of the concrete.</w:t>
      </w:r>
    </w:p>
    <w:p w:rsidR="008411EA" w:rsidRPr="00787A25" w:rsidRDefault="008411EA" w:rsidP="008411EA">
      <w:pPr>
        <w:rPr>
          <w:b/>
          <w:sz w:val="20"/>
          <w:szCs w:val="20"/>
        </w:rPr>
      </w:pPr>
      <w:r w:rsidRPr="00787A25">
        <w:rPr>
          <w:b/>
          <w:sz w:val="20"/>
          <w:szCs w:val="20"/>
        </w:rPr>
        <w:t xml:space="preserve">ASTM C618(2) defined pozzolan as a siliceous or siliceous and aluminous materials which in themselves have little or no </w:t>
      </w:r>
      <w:r w:rsidR="00787A25" w:rsidRPr="00787A25">
        <w:rPr>
          <w:b/>
          <w:sz w:val="20"/>
          <w:szCs w:val="20"/>
        </w:rPr>
        <w:t>cementite’s</w:t>
      </w:r>
      <w:r w:rsidRPr="00787A25">
        <w:rPr>
          <w:b/>
          <w:sz w:val="20"/>
          <w:szCs w:val="20"/>
        </w:rPr>
        <w:t xml:space="preserve"> properties but in finely divided form and in the presence of moisture, they can react with calcium hydroxide which is </w:t>
      </w:r>
      <w:r w:rsidR="00787A25" w:rsidRPr="00787A25">
        <w:rPr>
          <w:b/>
          <w:sz w:val="20"/>
          <w:szCs w:val="20"/>
        </w:rPr>
        <w:t>liberated</w:t>
      </w:r>
      <w:r w:rsidRPr="00787A25">
        <w:rPr>
          <w:b/>
          <w:sz w:val="20"/>
          <w:szCs w:val="20"/>
        </w:rPr>
        <w:t xml:space="preserve"> during the hydration of Portland cement at ordinary temperatures to form compounds possessing </w:t>
      </w:r>
      <w:r w:rsidR="00787A25" w:rsidRPr="00787A25">
        <w:rPr>
          <w:b/>
          <w:sz w:val="20"/>
          <w:szCs w:val="20"/>
        </w:rPr>
        <w:t>cementite’s</w:t>
      </w:r>
      <w:r w:rsidRPr="00787A25">
        <w:rPr>
          <w:b/>
          <w:sz w:val="20"/>
          <w:szCs w:val="20"/>
        </w:rPr>
        <w:t xml:space="preserve"> properties.</w:t>
      </w:r>
    </w:p>
    <w:p w:rsidR="00787A25" w:rsidRPr="00787A25" w:rsidRDefault="008411EA" w:rsidP="008411EA">
      <w:pPr>
        <w:rPr>
          <w:b/>
          <w:sz w:val="20"/>
          <w:szCs w:val="20"/>
        </w:rPr>
      </w:pPr>
      <w:r w:rsidRPr="00787A25">
        <w:rPr>
          <w:b/>
          <w:sz w:val="20"/>
          <w:szCs w:val="20"/>
        </w:rPr>
        <w:t>This study investigated the engineering properties of RHA as a material for concrete production. The results shows that RHA is a super pozzolan and very suitable a</w:t>
      </w:r>
      <w:r w:rsidR="00787A25" w:rsidRPr="00787A25">
        <w:rPr>
          <w:b/>
          <w:sz w:val="20"/>
          <w:szCs w:val="20"/>
        </w:rPr>
        <w:t>s a partial replacement of OPC.</w:t>
      </w:r>
      <w:r w:rsidRPr="00787A25">
        <w:rPr>
          <w:b/>
          <w:sz w:val="20"/>
          <w:szCs w:val="20"/>
        </w:rPr>
        <w:t xml:space="preserve"> </w:t>
      </w:r>
      <w:r w:rsidR="00787A25" w:rsidRPr="00787A25">
        <w:rPr>
          <w:b/>
          <w:sz w:val="20"/>
          <w:szCs w:val="20"/>
        </w:rPr>
        <w:t>2. EXPERIMENTAL METHODS</w:t>
      </w:r>
    </w:p>
    <w:p w:rsidR="008411EA" w:rsidRPr="004848F6" w:rsidRDefault="00F5239C" w:rsidP="008411EA">
      <w:pPr>
        <w:rPr>
          <w:b/>
        </w:rPr>
      </w:pPr>
      <w:r>
        <w:rPr>
          <w:b/>
          <w:highlight w:val="yellow"/>
        </w:rPr>
        <w:t>2.</w:t>
      </w:r>
      <w:r w:rsidR="008411EA" w:rsidRPr="004848F6">
        <w:rPr>
          <w:b/>
          <w:highlight w:val="yellow"/>
        </w:rPr>
        <w:t xml:space="preserve">   Materials</w:t>
      </w:r>
    </w:p>
    <w:p w:rsidR="008411EA" w:rsidRPr="00787A25" w:rsidRDefault="008411EA" w:rsidP="008411EA">
      <w:pPr>
        <w:rPr>
          <w:b/>
          <w:sz w:val="20"/>
          <w:szCs w:val="20"/>
        </w:rPr>
      </w:pPr>
      <w:r w:rsidRPr="004848F6">
        <w:rPr>
          <w:b/>
          <w:highlight w:val="yellow"/>
        </w:rPr>
        <w:t>2.1.1 Rice Husk Ash (RHA).</w:t>
      </w:r>
      <w:r w:rsidR="00787A25" w:rsidRPr="004848F6">
        <w:rPr>
          <w:b/>
        </w:rPr>
        <w:t>-</w:t>
      </w:r>
      <w:r w:rsidRPr="00787A25">
        <w:rPr>
          <w:b/>
          <w:sz w:val="20"/>
          <w:szCs w:val="20"/>
        </w:rPr>
        <w:t>Rice Husk Ash was burnt for approximately 72hours in air in an uncontrolled burning process. The temperature was in the range of 400-6000C. The ash collected was sieved through</w:t>
      </w:r>
      <w:r w:rsidR="00787A25" w:rsidRPr="00787A25">
        <w:rPr>
          <w:b/>
          <w:sz w:val="20"/>
          <w:szCs w:val="20"/>
        </w:rPr>
        <w:t xml:space="preserve"> BS standard sieve size 75µm and its </w:t>
      </w:r>
      <w:proofErr w:type="spellStart"/>
      <w:r w:rsidR="00787A25" w:rsidRPr="00787A25">
        <w:rPr>
          <w:b/>
          <w:sz w:val="20"/>
          <w:szCs w:val="20"/>
        </w:rPr>
        <w:t>colour</w:t>
      </w:r>
      <w:proofErr w:type="spellEnd"/>
      <w:r w:rsidR="00787A25" w:rsidRPr="00787A25">
        <w:rPr>
          <w:b/>
          <w:sz w:val="20"/>
          <w:szCs w:val="20"/>
        </w:rPr>
        <w:t xml:space="preserve"> was grey. It was then measured by volume to replace the cement at 10,20and 25%.</w:t>
      </w:r>
    </w:p>
    <w:p w:rsidR="008411EA" w:rsidRPr="00787A25" w:rsidRDefault="008411EA" w:rsidP="008411EA">
      <w:pPr>
        <w:rPr>
          <w:b/>
        </w:rPr>
      </w:pPr>
      <w:r w:rsidRPr="00787A25">
        <w:rPr>
          <w:b/>
        </w:rPr>
        <w:t xml:space="preserve"> </w:t>
      </w:r>
    </w:p>
    <w:tbl>
      <w:tblPr>
        <w:tblpPr w:leftFromText="180" w:rightFromText="180" w:vertAnchor="text" w:horzAnchor="margin" w:tblpXSpec="center" w:tblpY="524"/>
        <w:tblW w:w="10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
        <w:gridCol w:w="720"/>
        <w:gridCol w:w="1709"/>
        <w:gridCol w:w="811"/>
        <w:gridCol w:w="1008"/>
        <w:gridCol w:w="807"/>
        <w:gridCol w:w="795"/>
        <w:gridCol w:w="1097"/>
        <w:gridCol w:w="903"/>
        <w:gridCol w:w="718"/>
        <w:gridCol w:w="629"/>
        <w:gridCol w:w="634"/>
      </w:tblGrid>
      <w:tr w:rsidR="004848F6" w:rsidTr="004848F6">
        <w:trPr>
          <w:trHeight w:val="503"/>
        </w:trPr>
        <w:tc>
          <w:tcPr>
            <w:tcW w:w="1155" w:type="dxa"/>
            <w:gridSpan w:val="2"/>
            <w:vMerge w:val="restart"/>
          </w:tcPr>
          <w:p w:rsidR="004848F6" w:rsidRDefault="004848F6" w:rsidP="004848F6">
            <w:pPr>
              <w:pStyle w:val="TableParagraph"/>
              <w:spacing w:before="68"/>
              <w:rPr>
                <w:b/>
                <w:sz w:val="18"/>
              </w:rPr>
            </w:pPr>
            <w:r>
              <w:rPr>
                <w:b/>
                <w:sz w:val="18"/>
              </w:rPr>
              <w:t>Materials</w:t>
            </w:r>
          </w:p>
        </w:tc>
        <w:tc>
          <w:tcPr>
            <w:tcW w:w="1709" w:type="dxa"/>
            <w:vMerge w:val="restart"/>
          </w:tcPr>
          <w:p w:rsidR="004848F6" w:rsidRDefault="004848F6" w:rsidP="004848F6">
            <w:pPr>
              <w:pStyle w:val="TableParagraph"/>
              <w:spacing w:before="68"/>
              <w:ind w:left="141"/>
              <w:rPr>
                <w:b/>
                <w:sz w:val="18"/>
              </w:rPr>
            </w:pPr>
            <w:r>
              <w:rPr>
                <w:b/>
                <w:sz w:val="18"/>
              </w:rPr>
              <w:t>Specific Gravity</w:t>
            </w:r>
          </w:p>
        </w:tc>
        <w:tc>
          <w:tcPr>
            <w:tcW w:w="7402" w:type="dxa"/>
            <w:gridSpan w:val="9"/>
          </w:tcPr>
          <w:p w:rsidR="004848F6" w:rsidRDefault="004848F6" w:rsidP="004848F6">
            <w:pPr>
              <w:pStyle w:val="TableParagraph"/>
              <w:spacing w:before="68"/>
              <w:rPr>
                <w:b/>
                <w:sz w:val="18"/>
              </w:rPr>
            </w:pPr>
            <w:r>
              <w:rPr>
                <w:b/>
                <w:sz w:val="18"/>
              </w:rPr>
              <w:t>Chemical Analysis%</w:t>
            </w:r>
          </w:p>
        </w:tc>
      </w:tr>
      <w:tr w:rsidR="004848F6" w:rsidTr="004848F6">
        <w:trPr>
          <w:trHeight w:val="558"/>
        </w:trPr>
        <w:tc>
          <w:tcPr>
            <w:tcW w:w="1155" w:type="dxa"/>
            <w:gridSpan w:val="2"/>
            <w:vMerge/>
            <w:tcBorders>
              <w:top w:val="nil"/>
            </w:tcBorders>
          </w:tcPr>
          <w:p w:rsidR="004848F6" w:rsidRDefault="004848F6" w:rsidP="004848F6">
            <w:pPr>
              <w:rPr>
                <w:sz w:val="2"/>
                <w:szCs w:val="2"/>
              </w:rPr>
            </w:pPr>
          </w:p>
        </w:tc>
        <w:tc>
          <w:tcPr>
            <w:tcW w:w="1709" w:type="dxa"/>
            <w:vMerge/>
            <w:tcBorders>
              <w:top w:val="nil"/>
            </w:tcBorders>
          </w:tcPr>
          <w:p w:rsidR="004848F6" w:rsidRDefault="004848F6" w:rsidP="004848F6">
            <w:pPr>
              <w:rPr>
                <w:sz w:val="2"/>
                <w:szCs w:val="2"/>
              </w:rPr>
            </w:pPr>
          </w:p>
        </w:tc>
        <w:tc>
          <w:tcPr>
            <w:tcW w:w="811" w:type="dxa"/>
          </w:tcPr>
          <w:p w:rsidR="004848F6" w:rsidRDefault="004848F6" w:rsidP="004848F6">
            <w:pPr>
              <w:pStyle w:val="TableParagraph"/>
              <w:spacing w:before="70"/>
              <w:rPr>
                <w:sz w:val="12"/>
              </w:rPr>
            </w:pPr>
            <w:r>
              <w:rPr>
                <w:position w:val="2"/>
                <w:sz w:val="18"/>
              </w:rPr>
              <w:t>Si0</w:t>
            </w:r>
            <w:r>
              <w:rPr>
                <w:sz w:val="12"/>
              </w:rPr>
              <w:t>2</w:t>
            </w:r>
          </w:p>
        </w:tc>
        <w:tc>
          <w:tcPr>
            <w:tcW w:w="1008" w:type="dxa"/>
          </w:tcPr>
          <w:p w:rsidR="004848F6" w:rsidRDefault="004848F6" w:rsidP="004848F6">
            <w:pPr>
              <w:pStyle w:val="TableParagraph"/>
              <w:spacing w:before="70"/>
              <w:ind w:left="141"/>
              <w:rPr>
                <w:sz w:val="12"/>
              </w:rPr>
            </w:pPr>
            <w:r>
              <w:rPr>
                <w:position w:val="2"/>
                <w:sz w:val="18"/>
              </w:rPr>
              <w:t>Al</w:t>
            </w:r>
            <w:r>
              <w:rPr>
                <w:sz w:val="12"/>
              </w:rPr>
              <w:t>2</w:t>
            </w:r>
            <w:r>
              <w:rPr>
                <w:position w:val="2"/>
                <w:sz w:val="18"/>
              </w:rPr>
              <w:t>0</w:t>
            </w:r>
            <w:r>
              <w:rPr>
                <w:sz w:val="12"/>
              </w:rPr>
              <w:t>3</w:t>
            </w:r>
          </w:p>
        </w:tc>
        <w:tc>
          <w:tcPr>
            <w:tcW w:w="807" w:type="dxa"/>
          </w:tcPr>
          <w:p w:rsidR="004848F6" w:rsidRDefault="004848F6" w:rsidP="004848F6">
            <w:pPr>
              <w:pStyle w:val="TableParagraph"/>
              <w:spacing w:before="70"/>
              <w:ind w:left="144"/>
              <w:rPr>
                <w:sz w:val="12"/>
              </w:rPr>
            </w:pPr>
            <w:r>
              <w:rPr>
                <w:position w:val="2"/>
                <w:sz w:val="18"/>
              </w:rPr>
              <w:t>Fe</w:t>
            </w:r>
            <w:r>
              <w:rPr>
                <w:sz w:val="12"/>
              </w:rPr>
              <w:t>2</w:t>
            </w:r>
            <w:r>
              <w:rPr>
                <w:position w:val="2"/>
                <w:sz w:val="18"/>
              </w:rPr>
              <w:t>0</w:t>
            </w:r>
            <w:r>
              <w:rPr>
                <w:sz w:val="12"/>
              </w:rPr>
              <w:t>3</w:t>
            </w:r>
          </w:p>
        </w:tc>
        <w:tc>
          <w:tcPr>
            <w:tcW w:w="795" w:type="dxa"/>
          </w:tcPr>
          <w:p w:rsidR="004848F6" w:rsidRDefault="004848F6" w:rsidP="004848F6">
            <w:pPr>
              <w:pStyle w:val="TableParagraph"/>
              <w:spacing w:before="71"/>
              <w:rPr>
                <w:sz w:val="18"/>
              </w:rPr>
            </w:pPr>
            <w:r>
              <w:rPr>
                <w:sz w:val="18"/>
              </w:rPr>
              <w:t>Ca0</w:t>
            </w:r>
          </w:p>
        </w:tc>
        <w:tc>
          <w:tcPr>
            <w:tcW w:w="1097" w:type="dxa"/>
          </w:tcPr>
          <w:p w:rsidR="004848F6" w:rsidRDefault="004848F6" w:rsidP="004848F6">
            <w:pPr>
              <w:pStyle w:val="TableParagraph"/>
              <w:spacing w:before="71"/>
              <w:rPr>
                <w:sz w:val="18"/>
              </w:rPr>
            </w:pPr>
            <w:r>
              <w:rPr>
                <w:sz w:val="18"/>
              </w:rPr>
              <w:t>Mg0</w:t>
            </w:r>
          </w:p>
        </w:tc>
        <w:tc>
          <w:tcPr>
            <w:tcW w:w="903" w:type="dxa"/>
          </w:tcPr>
          <w:p w:rsidR="004848F6" w:rsidRDefault="004848F6" w:rsidP="004848F6">
            <w:pPr>
              <w:pStyle w:val="TableParagraph"/>
              <w:spacing w:before="70"/>
              <w:rPr>
                <w:sz w:val="12"/>
              </w:rPr>
            </w:pPr>
            <w:r>
              <w:rPr>
                <w:position w:val="2"/>
                <w:sz w:val="18"/>
              </w:rPr>
              <w:t>Na0</w:t>
            </w:r>
            <w:r>
              <w:rPr>
                <w:sz w:val="12"/>
              </w:rPr>
              <w:t>3</w:t>
            </w:r>
          </w:p>
        </w:tc>
        <w:tc>
          <w:tcPr>
            <w:tcW w:w="718" w:type="dxa"/>
          </w:tcPr>
          <w:p w:rsidR="004848F6" w:rsidRDefault="004848F6" w:rsidP="004848F6">
            <w:pPr>
              <w:pStyle w:val="TableParagraph"/>
              <w:spacing w:before="70"/>
              <w:rPr>
                <w:sz w:val="18"/>
              </w:rPr>
            </w:pPr>
            <w:r>
              <w:rPr>
                <w:position w:val="2"/>
                <w:sz w:val="18"/>
              </w:rPr>
              <w:t>K</w:t>
            </w:r>
            <w:r>
              <w:rPr>
                <w:sz w:val="12"/>
              </w:rPr>
              <w:t>2</w:t>
            </w:r>
            <w:r>
              <w:rPr>
                <w:position w:val="2"/>
                <w:sz w:val="18"/>
              </w:rPr>
              <w:t>0</w:t>
            </w:r>
          </w:p>
        </w:tc>
        <w:tc>
          <w:tcPr>
            <w:tcW w:w="629" w:type="dxa"/>
          </w:tcPr>
          <w:p w:rsidR="004848F6" w:rsidRDefault="004848F6" w:rsidP="004848F6">
            <w:pPr>
              <w:pStyle w:val="TableParagraph"/>
              <w:spacing w:before="71"/>
              <w:ind w:left="124" w:right="213"/>
              <w:jc w:val="center"/>
              <w:rPr>
                <w:sz w:val="18"/>
              </w:rPr>
            </w:pPr>
            <w:proofErr w:type="spellStart"/>
            <w:r>
              <w:rPr>
                <w:sz w:val="18"/>
              </w:rPr>
              <w:t>Loi</w:t>
            </w:r>
            <w:proofErr w:type="spellEnd"/>
          </w:p>
        </w:tc>
        <w:tc>
          <w:tcPr>
            <w:tcW w:w="634" w:type="dxa"/>
          </w:tcPr>
          <w:p w:rsidR="004848F6" w:rsidRDefault="004848F6" w:rsidP="004848F6">
            <w:pPr>
              <w:pStyle w:val="TableParagraph"/>
              <w:spacing w:before="73" w:line="235" w:lineRule="auto"/>
              <w:ind w:left="142" w:right="165"/>
              <w:rPr>
                <w:sz w:val="18"/>
              </w:rPr>
            </w:pPr>
            <w:r>
              <w:rPr>
                <w:position w:val="2"/>
                <w:sz w:val="18"/>
              </w:rPr>
              <w:t>Na</w:t>
            </w:r>
            <w:r>
              <w:rPr>
                <w:sz w:val="12"/>
              </w:rPr>
              <w:t xml:space="preserve">2 </w:t>
            </w:r>
            <w:r>
              <w:rPr>
                <w:sz w:val="18"/>
              </w:rPr>
              <w:t>0</w:t>
            </w:r>
          </w:p>
        </w:tc>
      </w:tr>
      <w:tr w:rsidR="004848F6" w:rsidTr="004848F6">
        <w:trPr>
          <w:trHeight w:val="556"/>
        </w:trPr>
        <w:tc>
          <w:tcPr>
            <w:tcW w:w="435" w:type="dxa"/>
            <w:vMerge w:val="restart"/>
          </w:tcPr>
          <w:p w:rsidR="004848F6" w:rsidRDefault="004848F6" w:rsidP="004848F6">
            <w:pPr>
              <w:pStyle w:val="TableParagraph"/>
              <w:ind w:left="0"/>
              <w:rPr>
                <w:rFonts w:ascii="Times New Roman"/>
                <w:sz w:val="18"/>
              </w:rPr>
            </w:pPr>
          </w:p>
        </w:tc>
        <w:tc>
          <w:tcPr>
            <w:tcW w:w="720" w:type="dxa"/>
          </w:tcPr>
          <w:p w:rsidR="004848F6" w:rsidRDefault="004848F6" w:rsidP="004848F6">
            <w:pPr>
              <w:pStyle w:val="TableParagraph"/>
              <w:spacing w:before="71"/>
              <w:ind w:left="141"/>
              <w:rPr>
                <w:sz w:val="18"/>
              </w:rPr>
            </w:pPr>
            <w:r>
              <w:rPr>
                <w:sz w:val="18"/>
              </w:rPr>
              <w:t>OPC</w:t>
            </w:r>
          </w:p>
        </w:tc>
        <w:tc>
          <w:tcPr>
            <w:tcW w:w="1709" w:type="dxa"/>
          </w:tcPr>
          <w:p w:rsidR="004848F6" w:rsidRDefault="004848F6" w:rsidP="004848F6">
            <w:pPr>
              <w:pStyle w:val="TableParagraph"/>
              <w:spacing w:before="71"/>
              <w:ind w:left="141"/>
              <w:rPr>
                <w:sz w:val="18"/>
              </w:rPr>
            </w:pPr>
            <w:r>
              <w:rPr>
                <w:sz w:val="18"/>
              </w:rPr>
              <w:t>2.99</w:t>
            </w:r>
          </w:p>
        </w:tc>
        <w:tc>
          <w:tcPr>
            <w:tcW w:w="811" w:type="dxa"/>
          </w:tcPr>
          <w:p w:rsidR="004848F6" w:rsidRDefault="004848F6" w:rsidP="004848F6">
            <w:pPr>
              <w:pStyle w:val="TableParagraph"/>
              <w:spacing w:before="71"/>
              <w:rPr>
                <w:sz w:val="18"/>
              </w:rPr>
            </w:pPr>
            <w:r>
              <w:rPr>
                <w:sz w:val="18"/>
              </w:rPr>
              <w:t>20.99</w:t>
            </w:r>
          </w:p>
        </w:tc>
        <w:tc>
          <w:tcPr>
            <w:tcW w:w="1008" w:type="dxa"/>
          </w:tcPr>
          <w:p w:rsidR="004848F6" w:rsidRDefault="004848F6" w:rsidP="004848F6">
            <w:pPr>
              <w:pStyle w:val="TableParagraph"/>
              <w:spacing w:before="71"/>
              <w:ind w:left="141"/>
              <w:rPr>
                <w:sz w:val="18"/>
              </w:rPr>
            </w:pPr>
            <w:r>
              <w:rPr>
                <w:sz w:val="18"/>
              </w:rPr>
              <w:t>6.19</w:t>
            </w:r>
          </w:p>
        </w:tc>
        <w:tc>
          <w:tcPr>
            <w:tcW w:w="807" w:type="dxa"/>
          </w:tcPr>
          <w:p w:rsidR="004848F6" w:rsidRDefault="004848F6" w:rsidP="004848F6">
            <w:pPr>
              <w:pStyle w:val="TableParagraph"/>
              <w:spacing w:before="71"/>
              <w:ind w:left="144"/>
              <w:rPr>
                <w:sz w:val="18"/>
              </w:rPr>
            </w:pPr>
            <w:r>
              <w:rPr>
                <w:sz w:val="18"/>
              </w:rPr>
              <w:t>3.86</w:t>
            </w:r>
          </w:p>
        </w:tc>
        <w:tc>
          <w:tcPr>
            <w:tcW w:w="795" w:type="dxa"/>
          </w:tcPr>
          <w:p w:rsidR="004848F6" w:rsidRDefault="004848F6" w:rsidP="004848F6">
            <w:pPr>
              <w:pStyle w:val="TableParagraph"/>
              <w:spacing w:before="71"/>
              <w:rPr>
                <w:sz w:val="18"/>
              </w:rPr>
            </w:pPr>
            <w:r>
              <w:rPr>
                <w:sz w:val="18"/>
              </w:rPr>
              <w:t>65.96</w:t>
            </w:r>
          </w:p>
        </w:tc>
        <w:tc>
          <w:tcPr>
            <w:tcW w:w="1097" w:type="dxa"/>
          </w:tcPr>
          <w:p w:rsidR="004848F6" w:rsidRDefault="004848F6" w:rsidP="004848F6">
            <w:pPr>
              <w:pStyle w:val="TableParagraph"/>
              <w:spacing w:before="71"/>
              <w:rPr>
                <w:sz w:val="18"/>
              </w:rPr>
            </w:pPr>
            <w:r>
              <w:rPr>
                <w:sz w:val="18"/>
              </w:rPr>
              <w:t>0.22</w:t>
            </w:r>
          </w:p>
        </w:tc>
        <w:tc>
          <w:tcPr>
            <w:tcW w:w="903" w:type="dxa"/>
          </w:tcPr>
          <w:p w:rsidR="004848F6" w:rsidRDefault="004848F6" w:rsidP="004848F6">
            <w:pPr>
              <w:pStyle w:val="TableParagraph"/>
              <w:spacing w:before="71"/>
              <w:rPr>
                <w:sz w:val="18"/>
              </w:rPr>
            </w:pPr>
            <w:r>
              <w:rPr>
                <w:sz w:val="18"/>
              </w:rPr>
              <w:t>0.17</w:t>
            </w:r>
          </w:p>
        </w:tc>
        <w:tc>
          <w:tcPr>
            <w:tcW w:w="718" w:type="dxa"/>
          </w:tcPr>
          <w:p w:rsidR="004848F6" w:rsidRDefault="004848F6" w:rsidP="004848F6">
            <w:pPr>
              <w:pStyle w:val="TableParagraph"/>
              <w:spacing w:before="71"/>
              <w:rPr>
                <w:sz w:val="18"/>
              </w:rPr>
            </w:pPr>
            <w:r>
              <w:rPr>
                <w:sz w:val="18"/>
              </w:rPr>
              <w:t>0.6</w:t>
            </w:r>
          </w:p>
        </w:tc>
        <w:tc>
          <w:tcPr>
            <w:tcW w:w="629" w:type="dxa"/>
          </w:tcPr>
          <w:p w:rsidR="004848F6" w:rsidRDefault="004848F6" w:rsidP="004848F6">
            <w:pPr>
              <w:pStyle w:val="TableParagraph"/>
              <w:spacing w:before="71" w:line="207" w:lineRule="exact"/>
              <w:ind w:left="142"/>
              <w:rPr>
                <w:sz w:val="18"/>
              </w:rPr>
            </w:pPr>
            <w:r>
              <w:rPr>
                <w:sz w:val="18"/>
              </w:rPr>
              <w:t>1.7</w:t>
            </w:r>
          </w:p>
          <w:p w:rsidR="004848F6" w:rsidRDefault="004848F6" w:rsidP="004848F6">
            <w:pPr>
              <w:pStyle w:val="TableParagraph"/>
              <w:spacing w:line="207" w:lineRule="exact"/>
              <w:ind w:left="142"/>
              <w:rPr>
                <w:sz w:val="18"/>
              </w:rPr>
            </w:pPr>
            <w:r>
              <w:rPr>
                <w:w w:val="99"/>
                <w:sz w:val="18"/>
              </w:rPr>
              <w:t>3</w:t>
            </w:r>
          </w:p>
        </w:tc>
        <w:tc>
          <w:tcPr>
            <w:tcW w:w="634" w:type="dxa"/>
          </w:tcPr>
          <w:p w:rsidR="004848F6" w:rsidRDefault="004848F6" w:rsidP="004848F6">
            <w:pPr>
              <w:pStyle w:val="TableParagraph"/>
              <w:ind w:left="0"/>
              <w:rPr>
                <w:rFonts w:ascii="Times New Roman"/>
                <w:sz w:val="18"/>
              </w:rPr>
            </w:pPr>
          </w:p>
        </w:tc>
      </w:tr>
      <w:tr w:rsidR="004848F6" w:rsidTr="004848F6">
        <w:trPr>
          <w:trHeight w:val="558"/>
        </w:trPr>
        <w:tc>
          <w:tcPr>
            <w:tcW w:w="435" w:type="dxa"/>
            <w:vMerge/>
            <w:tcBorders>
              <w:top w:val="nil"/>
            </w:tcBorders>
          </w:tcPr>
          <w:p w:rsidR="004848F6" w:rsidRDefault="004848F6" w:rsidP="004848F6">
            <w:pPr>
              <w:rPr>
                <w:sz w:val="2"/>
                <w:szCs w:val="2"/>
              </w:rPr>
            </w:pPr>
          </w:p>
        </w:tc>
        <w:tc>
          <w:tcPr>
            <w:tcW w:w="720" w:type="dxa"/>
          </w:tcPr>
          <w:p w:rsidR="004848F6" w:rsidRDefault="004848F6" w:rsidP="004848F6">
            <w:pPr>
              <w:pStyle w:val="TableParagraph"/>
              <w:spacing w:before="73"/>
              <w:ind w:left="141"/>
              <w:rPr>
                <w:sz w:val="18"/>
              </w:rPr>
            </w:pPr>
            <w:r>
              <w:rPr>
                <w:sz w:val="18"/>
              </w:rPr>
              <w:t>RHA</w:t>
            </w:r>
          </w:p>
        </w:tc>
        <w:tc>
          <w:tcPr>
            <w:tcW w:w="1709" w:type="dxa"/>
          </w:tcPr>
          <w:p w:rsidR="004848F6" w:rsidRDefault="004848F6" w:rsidP="004848F6">
            <w:pPr>
              <w:pStyle w:val="TableParagraph"/>
              <w:spacing w:before="73"/>
              <w:ind w:left="141"/>
              <w:rPr>
                <w:sz w:val="18"/>
              </w:rPr>
            </w:pPr>
            <w:r>
              <w:rPr>
                <w:sz w:val="18"/>
              </w:rPr>
              <w:t>2.11</w:t>
            </w:r>
          </w:p>
        </w:tc>
        <w:tc>
          <w:tcPr>
            <w:tcW w:w="811" w:type="dxa"/>
          </w:tcPr>
          <w:p w:rsidR="004848F6" w:rsidRDefault="004848F6" w:rsidP="004848F6">
            <w:pPr>
              <w:pStyle w:val="TableParagraph"/>
              <w:spacing w:before="73"/>
              <w:rPr>
                <w:sz w:val="18"/>
              </w:rPr>
            </w:pPr>
            <w:r>
              <w:rPr>
                <w:sz w:val="18"/>
              </w:rPr>
              <w:t>88.32</w:t>
            </w:r>
          </w:p>
        </w:tc>
        <w:tc>
          <w:tcPr>
            <w:tcW w:w="1008" w:type="dxa"/>
          </w:tcPr>
          <w:p w:rsidR="004848F6" w:rsidRDefault="004848F6" w:rsidP="004848F6">
            <w:pPr>
              <w:pStyle w:val="TableParagraph"/>
              <w:spacing w:before="73"/>
              <w:ind w:left="141"/>
              <w:rPr>
                <w:sz w:val="18"/>
              </w:rPr>
            </w:pPr>
            <w:r>
              <w:rPr>
                <w:sz w:val="18"/>
              </w:rPr>
              <w:t>0.46</w:t>
            </w:r>
          </w:p>
        </w:tc>
        <w:tc>
          <w:tcPr>
            <w:tcW w:w="807" w:type="dxa"/>
          </w:tcPr>
          <w:p w:rsidR="004848F6" w:rsidRDefault="004848F6" w:rsidP="004848F6">
            <w:pPr>
              <w:pStyle w:val="TableParagraph"/>
              <w:spacing w:before="73"/>
              <w:ind w:left="144"/>
              <w:rPr>
                <w:sz w:val="18"/>
              </w:rPr>
            </w:pPr>
            <w:r>
              <w:rPr>
                <w:sz w:val="18"/>
              </w:rPr>
              <w:t>0.67</w:t>
            </w:r>
          </w:p>
        </w:tc>
        <w:tc>
          <w:tcPr>
            <w:tcW w:w="795" w:type="dxa"/>
          </w:tcPr>
          <w:p w:rsidR="004848F6" w:rsidRDefault="004848F6" w:rsidP="004848F6">
            <w:pPr>
              <w:pStyle w:val="TableParagraph"/>
              <w:spacing w:before="73"/>
              <w:rPr>
                <w:sz w:val="18"/>
              </w:rPr>
            </w:pPr>
            <w:r>
              <w:rPr>
                <w:sz w:val="18"/>
              </w:rPr>
              <w:t>0.6</w:t>
            </w:r>
          </w:p>
        </w:tc>
        <w:tc>
          <w:tcPr>
            <w:tcW w:w="1097" w:type="dxa"/>
          </w:tcPr>
          <w:p w:rsidR="004848F6" w:rsidRDefault="004848F6" w:rsidP="004848F6">
            <w:pPr>
              <w:pStyle w:val="TableParagraph"/>
              <w:spacing w:before="73"/>
              <w:rPr>
                <w:sz w:val="18"/>
              </w:rPr>
            </w:pPr>
            <w:r>
              <w:rPr>
                <w:sz w:val="18"/>
              </w:rPr>
              <w:t>0.44</w:t>
            </w:r>
          </w:p>
        </w:tc>
        <w:tc>
          <w:tcPr>
            <w:tcW w:w="903" w:type="dxa"/>
          </w:tcPr>
          <w:p w:rsidR="004848F6" w:rsidRDefault="004848F6" w:rsidP="004848F6">
            <w:pPr>
              <w:pStyle w:val="TableParagraph"/>
              <w:spacing w:before="73"/>
              <w:rPr>
                <w:sz w:val="18"/>
              </w:rPr>
            </w:pPr>
            <w:r>
              <w:rPr>
                <w:sz w:val="18"/>
              </w:rPr>
              <w:t>0.12</w:t>
            </w:r>
          </w:p>
        </w:tc>
        <w:tc>
          <w:tcPr>
            <w:tcW w:w="718" w:type="dxa"/>
          </w:tcPr>
          <w:p w:rsidR="004848F6" w:rsidRDefault="004848F6" w:rsidP="004848F6">
            <w:pPr>
              <w:pStyle w:val="TableParagraph"/>
              <w:spacing w:before="73"/>
              <w:rPr>
                <w:sz w:val="18"/>
              </w:rPr>
            </w:pPr>
            <w:r>
              <w:rPr>
                <w:sz w:val="18"/>
              </w:rPr>
              <w:t>2.91</w:t>
            </w:r>
          </w:p>
        </w:tc>
        <w:tc>
          <w:tcPr>
            <w:tcW w:w="629" w:type="dxa"/>
          </w:tcPr>
          <w:p w:rsidR="004848F6" w:rsidRDefault="004848F6" w:rsidP="004848F6">
            <w:pPr>
              <w:pStyle w:val="TableParagraph"/>
              <w:spacing w:before="73" w:line="207" w:lineRule="exact"/>
              <w:ind w:left="142"/>
              <w:rPr>
                <w:sz w:val="18"/>
              </w:rPr>
            </w:pPr>
            <w:r>
              <w:rPr>
                <w:sz w:val="18"/>
              </w:rPr>
              <w:t>5.8</w:t>
            </w:r>
          </w:p>
          <w:p w:rsidR="004848F6" w:rsidRDefault="004848F6" w:rsidP="004848F6">
            <w:pPr>
              <w:pStyle w:val="TableParagraph"/>
              <w:spacing w:line="207" w:lineRule="exact"/>
              <w:ind w:left="142"/>
              <w:rPr>
                <w:sz w:val="18"/>
              </w:rPr>
            </w:pPr>
            <w:r>
              <w:rPr>
                <w:w w:val="99"/>
                <w:sz w:val="18"/>
              </w:rPr>
              <w:t>1</w:t>
            </w:r>
          </w:p>
        </w:tc>
        <w:tc>
          <w:tcPr>
            <w:tcW w:w="634" w:type="dxa"/>
          </w:tcPr>
          <w:p w:rsidR="004848F6" w:rsidRDefault="004848F6" w:rsidP="004848F6">
            <w:pPr>
              <w:pStyle w:val="TableParagraph"/>
              <w:ind w:left="0"/>
              <w:rPr>
                <w:rFonts w:ascii="Times New Roman"/>
                <w:sz w:val="18"/>
              </w:rPr>
            </w:pPr>
          </w:p>
        </w:tc>
      </w:tr>
      <w:tr w:rsidR="004848F6" w:rsidTr="004848F6">
        <w:trPr>
          <w:trHeight w:val="558"/>
        </w:trPr>
        <w:tc>
          <w:tcPr>
            <w:tcW w:w="435" w:type="dxa"/>
            <w:vMerge w:val="restart"/>
          </w:tcPr>
          <w:p w:rsidR="004848F6" w:rsidRDefault="004848F6" w:rsidP="004848F6">
            <w:pPr>
              <w:pStyle w:val="TableParagraph"/>
              <w:ind w:left="0"/>
              <w:rPr>
                <w:rFonts w:ascii="Times New Roman"/>
                <w:sz w:val="18"/>
              </w:rPr>
            </w:pPr>
          </w:p>
        </w:tc>
        <w:tc>
          <w:tcPr>
            <w:tcW w:w="720" w:type="dxa"/>
          </w:tcPr>
          <w:p w:rsidR="004848F6" w:rsidRDefault="004848F6" w:rsidP="004848F6">
            <w:pPr>
              <w:pStyle w:val="TableParagraph"/>
              <w:spacing w:before="71"/>
              <w:ind w:left="141"/>
              <w:rPr>
                <w:sz w:val="18"/>
              </w:rPr>
            </w:pPr>
            <w:r>
              <w:rPr>
                <w:sz w:val="18"/>
              </w:rPr>
              <w:t>OPC</w:t>
            </w:r>
          </w:p>
        </w:tc>
        <w:tc>
          <w:tcPr>
            <w:tcW w:w="1709" w:type="dxa"/>
          </w:tcPr>
          <w:p w:rsidR="004848F6" w:rsidRDefault="004848F6" w:rsidP="004848F6">
            <w:pPr>
              <w:pStyle w:val="TableParagraph"/>
              <w:spacing w:before="71"/>
              <w:ind w:left="141"/>
              <w:rPr>
                <w:sz w:val="18"/>
              </w:rPr>
            </w:pPr>
            <w:r>
              <w:rPr>
                <w:sz w:val="18"/>
              </w:rPr>
              <w:t>3.08</w:t>
            </w:r>
          </w:p>
        </w:tc>
        <w:tc>
          <w:tcPr>
            <w:tcW w:w="811" w:type="dxa"/>
          </w:tcPr>
          <w:p w:rsidR="004848F6" w:rsidRDefault="004848F6" w:rsidP="004848F6">
            <w:pPr>
              <w:pStyle w:val="TableParagraph"/>
              <w:spacing w:before="71"/>
              <w:rPr>
                <w:sz w:val="18"/>
              </w:rPr>
            </w:pPr>
            <w:r>
              <w:rPr>
                <w:sz w:val="18"/>
              </w:rPr>
              <w:t>23.89</w:t>
            </w:r>
          </w:p>
        </w:tc>
        <w:tc>
          <w:tcPr>
            <w:tcW w:w="1008" w:type="dxa"/>
          </w:tcPr>
          <w:p w:rsidR="004848F6" w:rsidRDefault="004848F6" w:rsidP="004848F6">
            <w:pPr>
              <w:pStyle w:val="TableParagraph"/>
              <w:spacing w:before="71"/>
              <w:ind w:left="141"/>
              <w:rPr>
                <w:sz w:val="18"/>
              </w:rPr>
            </w:pPr>
            <w:r>
              <w:rPr>
                <w:sz w:val="18"/>
              </w:rPr>
              <w:t>8.91</w:t>
            </w:r>
          </w:p>
        </w:tc>
        <w:tc>
          <w:tcPr>
            <w:tcW w:w="807" w:type="dxa"/>
          </w:tcPr>
          <w:p w:rsidR="004848F6" w:rsidRDefault="004848F6" w:rsidP="004848F6">
            <w:pPr>
              <w:pStyle w:val="TableParagraph"/>
              <w:spacing w:before="71"/>
              <w:ind w:left="144"/>
              <w:rPr>
                <w:sz w:val="18"/>
              </w:rPr>
            </w:pPr>
            <w:r>
              <w:rPr>
                <w:sz w:val="18"/>
              </w:rPr>
              <w:t>2.72</w:t>
            </w:r>
          </w:p>
        </w:tc>
        <w:tc>
          <w:tcPr>
            <w:tcW w:w="795" w:type="dxa"/>
          </w:tcPr>
          <w:p w:rsidR="004848F6" w:rsidRDefault="004848F6" w:rsidP="004848F6">
            <w:pPr>
              <w:pStyle w:val="TableParagraph"/>
              <w:spacing w:before="71"/>
              <w:rPr>
                <w:sz w:val="18"/>
              </w:rPr>
            </w:pPr>
            <w:r>
              <w:rPr>
                <w:sz w:val="18"/>
              </w:rPr>
              <w:t>51.27</w:t>
            </w:r>
          </w:p>
        </w:tc>
        <w:tc>
          <w:tcPr>
            <w:tcW w:w="1097" w:type="dxa"/>
          </w:tcPr>
          <w:p w:rsidR="004848F6" w:rsidRDefault="004848F6" w:rsidP="004848F6">
            <w:pPr>
              <w:pStyle w:val="TableParagraph"/>
              <w:spacing w:before="71"/>
              <w:rPr>
                <w:sz w:val="18"/>
              </w:rPr>
            </w:pPr>
            <w:r>
              <w:rPr>
                <w:sz w:val="18"/>
              </w:rPr>
              <w:t>4.48</w:t>
            </w:r>
          </w:p>
        </w:tc>
        <w:tc>
          <w:tcPr>
            <w:tcW w:w="903" w:type="dxa"/>
          </w:tcPr>
          <w:p w:rsidR="004848F6" w:rsidRDefault="004848F6" w:rsidP="004848F6">
            <w:pPr>
              <w:pStyle w:val="TableParagraph"/>
              <w:spacing w:before="71"/>
              <w:ind w:left="193"/>
              <w:rPr>
                <w:sz w:val="18"/>
              </w:rPr>
            </w:pPr>
            <w:r>
              <w:rPr>
                <w:w w:val="99"/>
                <w:sz w:val="18"/>
              </w:rPr>
              <w:t>-</w:t>
            </w:r>
          </w:p>
        </w:tc>
        <w:tc>
          <w:tcPr>
            <w:tcW w:w="718" w:type="dxa"/>
          </w:tcPr>
          <w:p w:rsidR="004848F6" w:rsidRDefault="004848F6" w:rsidP="004848F6">
            <w:pPr>
              <w:pStyle w:val="TableParagraph"/>
              <w:spacing w:before="71"/>
              <w:rPr>
                <w:sz w:val="18"/>
              </w:rPr>
            </w:pPr>
            <w:r>
              <w:rPr>
                <w:sz w:val="18"/>
              </w:rPr>
              <w:t>0.96</w:t>
            </w:r>
          </w:p>
        </w:tc>
        <w:tc>
          <w:tcPr>
            <w:tcW w:w="629" w:type="dxa"/>
          </w:tcPr>
          <w:p w:rsidR="004848F6" w:rsidRDefault="004848F6" w:rsidP="004848F6">
            <w:pPr>
              <w:pStyle w:val="TableParagraph"/>
              <w:spacing w:before="71"/>
              <w:ind w:left="0" w:right="69"/>
              <w:jc w:val="center"/>
              <w:rPr>
                <w:sz w:val="18"/>
              </w:rPr>
            </w:pPr>
            <w:r>
              <w:rPr>
                <w:w w:val="99"/>
                <w:sz w:val="18"/>
              </w:rPr>
              <w:t>-</w:t>
            </w:r>
          </w:p>
        </w:tc>
        <w:tc>
          <w:tcPr>
            <w:tcW w:w="634" w:type="dxa"/>
          </w:tcPr>
          <w:p w:rsidR="004848F6" w:rsidRDefault="004848F6" w:rsidP="004848F6">
            <w:pPr>
              <w:pStyle w:val="TableParagraph"/>
              <w:spacing w:before="71"/>
              <w:ind w:left="142"/>
              <w:rPr>
                <w:sz w:val="18"/>
              </w:rPr>
            </w:pPr>
            <w:r>
              <w:rPr>
                <w:sz w:val="18"/>
              </w:rPr>
              <w:t>0.1</w:t>
            </w:r>
          </w:p>
          <w:p w:rsidR="004848F6" w:rsidRDefault="004848F6" w:rsidP="004848F6">
            <w:pPr>
              <w:pStyle w:val="TableParagraph"/>
              <w:spacing w:before="1"/>
              <w:ind w:left="142"/>
              <w:rPr>
                <w:sz w:val="18"/>
              </w:rPr>
            </w:pPr>
            <w:r>
              <w:rPr>
                <w:w w:val="99"/>
                <w:sz w:val="18"/>
              </w:rPr>
              <w:t>8</w:t>
            </w:r>
          </w:p>
        </w:tc>
      </w:tr>
      <w:tr w:rsidR="004848F6" w:rsidTr="004848F6">
        <w:trPr>
          <w:trHeight w:val="557"/>
        </w:trPr>
        <w:tc>
          <w:tcPr>
            <w:tcW w:w="435" w:type="dxa"/>
            <w:vMerge/>
            <w:tcBorders>
              <w:top w:val="nil"/>
            </w:tcBorders>
          </w:tcPr>
          <w:p w:rsidR="004848F6" w:rsidRDefault="004848F6" w:rsidP="004848F6">
            <w:pPr>
              <w:rPr>
                <w:sz w:val="2"/>
                <w:szCs w:val="2"/>
              </w:rPr>
            </w:pPr>
          </w:p>
        </w:tc>
        <w:tc>
          <w:tcPr>
            <w:tcW w:w="720" w:type="dxa"/>
          </w:tcPr>
          <w:p w:rsidR="004848F6" w:rsidRDefault="004848F6" w:rsidP="004848F6">
            <w:pPr>
              <w:pStyle w:val="TableParagraph"/>
              <w:spacing w:before="71"/>
              <w:ind w:left="141"/>
              <w:rPr>
                <w:sz w:val="18"/>
              </w:rPr>
            </w:pPr>
            <w:r>
              <w:rPr>
                <w:sz w:val="18"/>
              </w:rPr>
              <w:t>RHA</w:t>
            </w:r>
          </w:p>
        </w:tc>
        <w:tc>
          <w:tcPr>
            <w:tcW w:w="1709" w:type="dxa"/>
          </w:tcPr>
          <w:p w:rsidR="004848F6" w:rsidRDefault="004848F6" w:rsidP="004848F6">
            <w:pPr>
              <w:pStyle w:val="TableParagraph"/>
              <w:spacing w:before="71"/>
              <w:ind w:left="141"/>
              <w:rPr>
                <w:sz w:val="18"/>
              </w:rPr>
            </w:pPr>
            <w:r>
              <w:rPr>
                <w:sz w:val="18"/>
              </w:rPr>
              <w:t>2.16</w:t>
            </w:r>
          </w:p>
        </w:tc>
        <w:tc>
          <w:tcPr>
            <w:tcW w:w="811" w:type="dxa"/>
          </w:tcPr>
          <w:p w:rsidR="004848F6" w:rsidRDefault="004848F6" w:rsidP="004848F6">
            <w:pPr>
              <w:pStyle w:val="TableParagraph"/>
              <w:spacing w:before="71"/>
              <w:rPr>
                <w:sz w:val="18"/>
              </w:rPr>
            </w:pPr>
            <w:r>
              <w:rPr>
                <w:sz w:val="18"/>
              </w:rPr>
              <w:t>92.99</w:t>
            </w:r>
          </w:p>
        </w:tc>
        <w:tc>
          <w:tcPr>
            <w:tcW w:w="1008" w:type="dxa"/>
          </w:tcPr>
          <w:p w:rsidR="004848F6" w:rsidRDefault="004848F6" w:rsidP="004848F6">
            <w:pPr>
              <w:pStyle w:val="TableParagraph"/>
              <w:spacing w:before="71"/>
              <w:ind w:left="141"/>
              <w:rPr>
                <w:sz w:val="18"/>
              </w:rPr>
            </w:pPr>
            <w:r>
              <w:rPr>
                <w:sz w:val="18"/>
              </w:rPr>
              <w:t>0.18</w:t>
            </w:r>
          </w:p>
        </w:tc>
        <w:tc>
          <w:tcPr>
            <w:tcW w:w="807" w:type="dxa"/>
          </w:tcPr>
          <w:p w:rsidR="004848F6" w:rsidRDefault="004848F6" w:rsidP="004848F6">
            <w:pPr>
              <w:pStyle w:val="TableParagraph"/>
              <w:spacing w:before="71"/>
              <w:ind w:left="144"/>
              <w:rPr>
                <w:sz w:val="18"/>
              </w:rPr>
            </w:pPr>
            <w:r>
              <w:rPr>
                <w:sz w:val="18"/>
              </w:rPr>
              <w:t>0.43</w:t>
            </w:r>
          </w:p>
        </w:tc>
        <w:tc>
          <w:tcPr>
            <w:tcW w:w="795" w:type="dxa"/>
          </w:tcPr>
          <w:p w:rsidR="004848F6" w:rsidRDefault="004848F6" w:rsidP="004848F6">
            <w:pPr>
              <w:pStyle w:val="TableParagraph"/>
              <w:spacing w:before="71"/>
              <w:rPr>
                <w:sz w:val="18"/>
              </w:rPr>
            </w:pPr>
            <w:r>
              <w:rPr>
                <w:sz w:val="18"/>
              </w:rPr>
              <w:t>1.03</w:t>
            </w:r>
          </w:p>
        </w:tc>
        <w:tc>
          <w:tcPr>
            <w:tcW w:w="1097" w:type="dxa"/>
          </w:tcPr>
          <w:p w:rsidR="004848F6" w:rsidRDefault="004848F6" w:rsidP="004848F6">
            <w:pPr>
              <w:pStyle w:val="TableParagraph"/>
              <w:spacing w:before="71"/>
              <w:rPr>
                <w:sz w:val="18"/>
              </w:rPr>
            </w:pPr>
            <w:r>
              <w:rPr>
                <w:sz w:val="18"/>
              </w:rPr>
              <w:t>0.35</w:t>
            </w:r>
          </w:p>
        </w:tc>
        <w:tc>
          <w:tcPr>
            <w:tcW w:w="903" w:type="dxa"/>
          </w:tcPr>
          <w:p w:rsidR="004848F6" w:rsidRDefault="004848F6" w:rsidP="004848F6">
            <w:pPr>
              <w:pStyle w:val="TableParagraph"/>
              <w:spacing w:before="71"/>
              <w:ind w:left="243"/>
              <w:rPr>
                <w:sz w:val="18"/>
              </w:rPr>
            </w:pPr>
            <w:r>
              <w:rPr>
                <w:w w:val="99"/>
                <w:sz w:val="18"/>
              </w:rPr>
              <w:t>-</w:t>
            </w:r>
          </w:p>
        </w:tc>
        <w:tc>
          <w:tcPr>
            <w:tcW w:w="718" w:type="dxa"/>
          </w:tcPr>
          <w:p w:rsidR="004848F6" w:rsidRDefault="004848F6" w:rsidP="004848F6">
            <w:pPr>
              <w:pStyle w:val="TableParagraph"/>
              <w:spacing w:before="71"/>
              <w:rPr>
                <w:sz w:val="18"/>
              </w:rPr>
            </w:pPr>
            <w:r>
              <w:rPr>
                <w:sz w:val="18"/>
              </w:rPr>
              <w:t>0.72</w:t>
            </w:r>
          </w:p>
        </w:tc>
        <w:tc>
          <w:tcPr>
            <w:tcW w:w="629" w:type="dxa"/>
          </w:tcPr>
          <w:p w:rsidR="004848F6" w:rsidRDefault="004848F6" w:rsidP="004848F6">
            <w:pPr>
              <w:pStyle w:val="TableParagraph"/>
              <w:spacing w:before="71"/>
              <w:ind w:left="0" w:right="69"/>
              <w:jc w:val="center"/>
              <w:rPr>
                <w:sz w:val="18"/>
              </w:rPr>
            </w:pPr>
            <w:r>
              <w:rPr>
                <w:w w:val="99"/>
                <w:sz w:val="18"/>
              </w:rPr>
              <w:t>-</w:t>
            </w:r>
          </w:p>
        </w:tc>
        <w:tc>
          <w:tcPr>
            <w:tcW w:w="634" w:type="dxa"/>
          </w:tcPr>
          <w:p w:rsidR="004848F6" w:rsidRDefault="004848F6" w:rsidP="004848F6">
            <w:pPr>
              <w:pStyle w:val="TableParagraph"/>
              <w:spacing w:before="71"/>
              <w:ind w:left="142"/>
              <w:rPr>
                <w:sz w:val="18"/>
              </w:rPr>
            </w:pPr>
            <w:r>
              <w:rPr>
                <w:sz w:val="18"/>
              </w:rPr>
              <w:t>0.0</w:t>
            </w:r>
          </w:p>
          <w:p w:rsidR="004848F6" w:rsidRDefault="004848F6" w:rsidP="004848F6">
            <w:pPr>
              <w:pStyle w:val="TableParagraph"/>
              <w:ind w:left="142"/>
              <w:rPr>
                <w:sz w:val="18"/>
              </w:rPr>
            </w:pPr>
            <w:r>
              <w:rPr>
                <w:w w:val="99"/>
                <w:sz w:val="18"/>
              </w:rPr>
              <w:t>2</w:t>
            </w:r>
          </w:p>
        </w:tc>
      </w:tr>
      <w:tr w:rsidR="004848F6" w:rsidTr="004848F6">
        <w:trPr>
          <w:trHeight w:val="532"/>
        </w:trPr>
        <w:tc>
          <w:tcPr>
            <w:tcW w:w="435" w:type="dxa"/>
            <w:vMerge/>
            <w:tcBorders>
              <w:top w:val="nil"/>
            </w:tcBorders>
          </w:tcPr>
          <w:p w:rsidR="004848F6" w:rsidRDefault="004848F6" w:rsidP="004848F6">
            <w:pPr>
              <w:rPr>
                <w:sz w:val="2"/>
                <w:szCs w:val="2"/>
              </w:rPr>
            </w:pPr>
          </w:p>
        </w:tc>
        <w:tc>
          <w:tcPr>
            <w:tcW w:w="2429" w:type="dxa"/>
            <w:gridSpan w:val="2"/>
          </w:tcPr>
          <w:p w:rsidR="004848F6" w:rsidRDefault="004848F6" w:rsidP="004848F6">
            <w:pPr>
              <w:pStyle w:val="TableParagraph"/>
              <w:spacing w:before="73"/>
              <w:ind w:left="141"/>
              <w:rPr>
                <w:sz w:val="18"/>
              </w:rPr>
            </w:pPr>
            <w:r>
              <w:rPr>
                <w:sz w:val="18"/>
              </w:rPr>
              <w:t>Specific Surface</w:t>
            </w:r>
          </w:p>
        </w:tc>
        <w:tc>
          <w:tcPr>
            <w:tcW w:w="811" w:type="dxa"/>
          </w:tcPr>
          <w:p w:rsidR="004848F6" w:rsidRDefault="004848F6" w:rsidP="004848F6">
            <w:pPr>
              <w:pStyle w:val="TableParagraph"/>
              <w:spacing w:before="73"/>
              <w:rPr>
                <w:sz w:val="18"/>
              </w:rPr>
            </w:pPr>
            <w:r>
              <w:rPr>
                <w:sz w:val="18"/>
              </w:rPr>
              <w:t>16196</w:t>
            </w:r>
          </w:p>
        </w:tc>
        <w:tc>
          <w:tcPr>
            <w:tcW w:w="1815" w:type="dxa"/>
            <w:gridSpan w:val="2"/>
          </w:tcPr>
          <w:p w:rsidR="004848F6" w:rsidRDefault="004848F6" w:rsidP="004848F6">
            <w:pPr>
              <w:pStyle w:val="TableParagraph"/>
              <w:spacing w:before="73"/>
              <w:ind w:left="141"/>
              <w:rPr>
                <w:sz w:val="18"/>
              </w:rPr>
            </w:pPr>
            <w:r>
              <w:rPr>
                <w:sz w:val="18"/>
              </w:rPr>
              <w:t>Mean particle size</w:t>
            </w:r>
          </w:p>
        </w:tc>
        <w:tc>
          <w:tcPr>
            <w:tcW w:w="795" w:type="dxa"/>
          </w:tcPr>
          <w:p w:rsidR="004848F6" w:rsidRDefault="004848F6" w:rsidP="004848F6">
            <w:pPr>
              <w:pStyle w:val="TableParagraph"/>
              <w:spacing w:before="73"/>
              <w:rPr>
                <w:sz w:val="18"/>
              </w:rPr>
            </w:pPr>
            <w:r>
              <w:rPr>
                <w:sz w:val="18"/>
              </w:rPr>
              <w:t>12.34</w:t>
            </w:r>
          </w:p>
        </w:tc>
        <w:tc>
          <w:tcPr>
            <w:tcW w:w="2000" w:type="dxa"/>
            <w:gridSpan w:val="2"/>
          </w:tcPr>
          <w:p w:rsidR="004848F6" w:rsidRDefault="004848F6" w:rsidP="004848F6">
            <w:pPr>
              <w:pStyle w:val="TableParagraph"/>
              <w:spacing w:before="73"/>
              <w:rPr>
                <w:sz w:val="18"/>
              </w:rPr>
            </w:pPr>
            <w:r>
              <w:rPr>
                <w:sz w:val="18"/>
              </w:rPr>
              <w:t>Passing N0:325 (%)</w:t>
            </w:r>
          </w:p>
        </w:tc>
        <w:tc>
          <w:tcPr>
            <w:tcW w:w="718" w:type="dxa"/>
          </w:tcPr>
          <w:p w:rsidR="004848F6" w:rsidRDefault="004848F6" w:rsidP="004848F6">
            <w:pPr>
              <w:pStyle w:val="TableParagraph"/>
              <w:spacing w:before="73"/>
              <w:rPr>
                <w:sz w:val="18"/>
              </w:rPr>
            </w:pPr>
            <w:r>
              <w:rPr>
                <w:sz w:val="18"/>
              </w:rPr>
              <w:t>96.6</w:t>
            </w:r>
          </w:p>
        </w:tc>
        <w:tc>
          <w:tcPr>
            <w:tcW w:w="629" w:type="dxa"/>
          </w:tcPr>
          <w:p w:rsidR="004848F6" w:rsidRDefault="004848F6" w:rsidP="004848F6">
            <w:pPr>
              <w:pStyle w:val="TableParagraph"/>
              <w:ind w:left="0"/>
              <w:rPr>
                <w:rFonts w:ascii="Times New Roman"/>
                <w:sz w:val="18"/>
              </w:rPr>
            </w:pPr>
          </w:p>
        </w:tc>
        <w:tc>
          <w:tcPr>
            <w:tcW w:w="634" w:type="dxa"/>
          </w:tcPr>
          <w:p w:rsidR="004848F6" w:rsidRDefault="004848F6" w:rsidP="004848F6">
            <w:pPr>
              <w:pStyle w:val="TableParagraph"/>
              <w:ind w:left="0"/>
              <w:rPr>
                <w:rFonts w:ascii="Times New Roman"/>
                <w:sz w:val="18"/>
              </w:rPr>
            </w:pPr>
          </w:p>
        </w:tc>
      </w:tr>
    </w:tbl>
    <w:p w:rsidR="004848F6" w:rsidRDefault="004848F6" w:rsidP="008411EA">
      <w:pPr>
        <w:rPr>
          <w:b/>
        </w:rPr>
      </w:pPr>
      <w:r w:rsidRPr="004848F6">
        <w:rPr>
          <w:b/>
          <w:highlight w:val="yellow"/>
        </w:rPr>
        <w:t xml:space="preserve">Table 1. </w:t>
      </w:r>
      <w:proofErr w:type="spellStart"/>
      <w:r w:rsidRPr="004848F6">
        <w:rPr>
          <w:b/>
          <w:highlight w:val="yellow"/>
        </w:rPr>
        <w:t>Physio</w:t>
      </w:r>
      <w:proofErr w:type="spellEnd"/>
      <w:r w:rsidRPr="004848F6">
        <w:rPr>
          <w:b/>
          <w:highlight w:val="yellow"/>
        </w:rPr>
        <w:t xml:space="preserve"> Chemical Properties of RHA</w:t>
      </w:r>
    </w:p>
    <w:p w:rsidR="004848F6" w:rsidRDefault="004848F6" w:rsidP="008411EA">
      <w:pPr>
        <w:rPr>
          <w:b/>
        </w:rPr>
      </w:pPr>
    </w:p>
    <w:p w:rsidR="004848F6" w:rsidRPr="004848F6" w:rsidRDefault="004848F6" w:rsidP="004848F6">
      <w:pPr>
        <w:rPr>
          <w:b/>
          <w:sz w:val="20"/>
          <w:szCs w:val="20"/>
        </w:rPr>
      </w:pPr>
      <w:r w:rsidRPr="004848F6">
        <w:rPr>
          <w:b/>
          <w:sz w:val="20"/>
          <w:szCs w:val="20"/>
          <w:highlight w:val="yellow"/>
        </w:rPr>
        <w:lastRenderedPageBreak/>
        <w:t>2.1.2   Aggregates</w:t>
      </w:r>
    </w:p>
    <w:p w:rsidR="004848F6" w:rsidRDefault="004848F6" w:rsidP="004848F6">
      <w:pPr>
        <w:rPr>
          <w:b/>
          <w:sz w:val="20"/>
          <w:szCs w:val="20"/>
        </w:rPr>
      </w:pPr>
      <w:r w:rsidRPr="004848F6">
        <w:rPr>
          <w:b/>
          <w:sz w:val="20"/>
          <w:szCs w:val="20"/>
        </w:rPr>
        <w:t xml:space="preserve">The research work is restricted to sand collected from the river. The sand was collected to ensure that there was no allowance for deleterious materials contained in the sand. In this research, granite of 20mm maximum size was used. Proper inspection was carried out to ensure that it is free from deleterious materials. Granite was gotten from zenith quarry in </w:t>
      </w:r>
      <w:proofErr w:type="spellStart"/>
      <w:r w:rsidRPr="004848F6">
        <w:rPr>
          <w:b/>
          <w:sz w:val="20"/>
          <w:szCs w:val="20"/>
        </w:rPr>
        <w:t>Akamkpa</w:t>
      </w:r>
      <w:proofErr w:type="spellEnd"/>
      <w:r w:rsidRPr="004848F6">
        <w:rPr>
          <w:b/>
          <w:sz w:val="20"/>
          <w:szCs w:val="20"/>
        </w:rPr>
        <w:t xml:space="preserve"> Cross River state.</w:t>
      </w:r>
    </w:p>
    <w:p w:rsidR="004848F6" w:rsidRPr="004848F6" w:rsidRDefault="004848F6" w:rsidP="004848F6">
      <w:pPr>
        <w:rPr>
          <w:b/>
        </w:rPr>
      </w:pPr>
      <w:r w:rsidRPr="004848F6">
        <w:rPr>
          <w:b/>
          <w:highlight w:val="yellow"/>
        </w:rPr>
        <w:t>2.1.3   Water</w:t>
      </w:r>
    </w:p>
    <w:p w:rsidR="004848F6" w:rsidRPr="004848F6" w:rsidRDefault="004848F6" w:rsidP="004848F6">
      <w:pPr>
        <w:rPr>
          <w:b/>
          <w:sz w:val="20"/>
          <w:szCs w:val="20"/>
        </w:rPr>
      </w:pPr>
      <w:r w:rsidRPr="004848F6">
        <w:rPr>
          <w:b/>
          <w:sz w:val="20"/>
          <w:szCs w:val="20"/>
        </w:rPr>
        <w:t>Water plays an important role in concrete production (mix) in that it starts the reaction between the cement, pozzolan and the aggregates. It helps in the hydration of the mix. In this research, the water used was Pipe borne water and free from contaminants.</w:t>
      </w:r>
    </w:p>
    <w:p w:rsidR="004848F6" w:rsidRPr="004848F6" w:rsidRDefault="004848F6" w:rsidP="004848F6">
      <w:pPr>
        <w:rPr>
          <w:b/>
        </w:rPr>
      </w:pPr>
      <w:r w:rsidRPr="004848F6">
        <w:rPr>
          <w:b/>
          <w:highlight w:val="yellow"/>
        </w:rPr>
        <w:t>3. MATERIALS AND METHODS</w:t>
      </w:r>
    </w:p>
    <w:p w:rsidR="004848F6" w:rsidRDefault="004848F6" w:rsidP="004848F6">
      <w:pPr>
        <w:rPr>
          <w:b/>
          <w:sz w:val="20"/>
          <w:szCs w:val="20"/>
        </w:rPr>
      </w:pPr>
      <w:r w:rsidRPr="004848F6">
        <w:rPr>
          <w:b/>
          <w:sz w:val="20"/>
          <w:szCs w:val="20"/>
        </w:rPr>
        <w:t>Concrete is a mixture of water, cement, aggregate (coarse and fine) and admixture. It is important that the constituent material remain uniformly distributed within the concrete mass during the various stages of handling and that full compaction is achieved, and making sure that the characteristics of concrete which affect full compaction like consistency, mobility and compatibility are in conformity with relevant codes of practice</w:t>
      </w:r>
    </w:p>
    <w:p w:rsidR="004848F6" w:rsidRPr="004848F6" w:rsidRDefault="004848F6" w:rsidP="004848F6">
      <w:pPr>
        <w:rPr>
          <w:b/>
          <w:sz w:val="20"/>
          <w:szCs w:val="20"/>
        </w:rPr>
      </w:pPr>
      <w:r w:rsidRPr="004848F6">
        <w:rPr>
          <w:b/>
          <w:sz w:val="20"/>
          <w:szCs w:val="20"/>
        </w:rPr>
        <w:t>The following tests were carried out in accordance with relevant BS Standards.</w:t>
      </w:r>
    </w:p>
    <w:p w:rsidR="004848F6" w:rsidRPr="004848F6" w:rsidRDefault="004848F6" w:rsidP="004848F6">
      <w:pPr>
        <w:rPr>
          <w:b/>
          <w:sz w:val="20"/>
          <w:szCs w:val="20"/>
        </w:rPr>
      </w:pPr>
      <w:r w:rsidRPr="004848F6">
        <w:rPr>
          <w:b/>
          <w:sz w:val="20"/>
          <w:szCs w:val="20"/>
        </w:rPr>
        <w:t>1. The aggregates were tested for physical properties such as: specific gravity, Particle distribution test and bulk density.</w:t>
      </w:r>
    </w:p>
    <w:p w:rsidR="004848F6" w:rsidRPr="004848F6" w:rsidRDefault="00BD0FB2" w:rsidP="004848F6">
      <w:pPr>
        <w:rPr>
          <w:b/>
          <w:sz w:val="20"/>
          <w:szCs w:val="20"/>
        </w:rPr>
      </w:pPr>
      <w:r>
        <w:rPr>
          <w:b/>
          <w:sz w:val="20"/>
          <w:szCs w:val="20"/>
        </w:rPr>
        <w:t>2.</w:t>
      </w:r>
      <w:r w:rsidRPr="004848F6">
        <w:rPr>
          <w:b/>
          <w:sz w:val="20"/>
          <w:szCs w:val="20"/>
        </w:rPr>
        <w:t xml:space="preserve"> The</w:t>
      </w:r>
      <w:r w:rsidR="004848F6" w:rsidRPr="004848F6">
        <w:rPr>
          <w:b/>
          <w:sz w:val="20"/>
          <w:szCs w:val="20"/>
        </w:rPr>
        <w:t xml:space="preserve"> fresh concrete was subjected to the following tests.</w:t>
      </w:r>
    </w:p>
    <w:p w:rsidR="004848F6" w:rsidRPr="004848F6" w:rsidRDefault="004848F6" w:rsidP="004848F6">
      <w:pPr>
        <w:rPr>
          <w:b/>
          <w:sz w:val="20"/>
          <w:szCs w:val="20"/>
        </w:rPr>
      </w:pPr>
      <w:r w:rsidRPr="004848F6">
        <w:rPr>
          <w:b/>
          <w:sz w:val="20"/>
          <w:szCs w:val="20"/>
        </w:rPr>
        <w:t>(</w:t>
      </w:r>
      <w:proofErr w:type="spellStart"/>
      <w:r w:rsidRPr="004848F6">
        <w:rPr>
          <w:b/>
          <w:sz w:val="20"/>
          <w:szCs w:val="20"/>
        </w:rPr>
        <w:t>i</w:t>
      </w:r>
      <w:proofErr w:type="spellEnd"/>
      <w:r w:rsidRPr="004848F6">
        <w:rPr>
          <w:b/>
          <w:sz w:val="20"/>
          <w:szCs w:val="20"/>
        </w:rPr>
        <w:t>) Slump</w:t>
      </w:r>
    </w:p>
    <w:p w:rsidR="004848F6" w:rsidRPr="004848F6" w:rsidRDefault="004848F6" w:rsidP="004848F6">
      <w:pPr>
        <w:rPr>
          <w:b/>
          <w:sz w:val="20"/>
          <w:szCs w:val="20"/>
        </w:rPr>
      </w:pPr>
      <w:r w:rsidRPr="004848F6">
        <w:rPr>
          <w:b/>
          <w:sz w:val="20"/>
          <w:szCs w:val="20"/>
        </w:rPr>
        <w:t>(</w:t>
      </w:r>
      <w:proofErr w:type="spellStart"/>
      <w:r w:rsidRPr="004848F6">
        <w:rPr>
          <w:b/>
          <w:sz w:val="20"/>
          <w:szCs w:val="20"/>
        </w:rPr>
        <w:t>i</w:t>
      </w:r>
      <w:proofErr w:type="spellEnd"/>
      <w:r w:rsidRPr="004848F6">
        <w:rPr>
          <w:b/>
          <w:sz w:val="20"/>
          <w:szCs w:val="20"/>
        </w:rPr>
        <w:t>) Density test</w:t>
      </w:r>
    </w:p>
    <w:p w:rsidR="00BD0FB2" w:rsidRPr="00781BD6" w:rsidRDefault="00BD0FB2" w:rsidP="00BD0FB2">
      <w:pPr>
        <w:rPr>
          <w:b/>
          <w:sz w:val="20"/>
          <w:szCs w:val="20"/>
        </w:rPr>
      </w:pPr>
      <w:r w:rsidRPr="00781BD6">
        <w:rPr>
          <w:b/>
          <w:sz w:val="20"/>
          <w:szCs w:val="20"/>
        </w:rPr>
        <w:t>(iii) Compressive strength test</w:t>
      </w:r>
    </w:p>
    <w:p w:rsidR="00BD0FB2" w:rsidRPr="00781BD6" w:rsidRDefault="004848F6" w:rsidP="00BD0FB2">
      <w:pPr>
        <w:rPr>
          <w:b/>
          <w:sz w:val="20"/>
          <w:szCs w:val="20"/>
        </w:rPr>
      </w:pPr>
      <w:r w:rsidRPr="00781BD6">
        <w:rPr>
          <w:b/>
          <w:sz w:val="20"/>
          <w:szCs w:val="20"/>
        </w:rPr>
        <w:t xml:space="preserve">  </w:t>
      </w:r>
      <w:r w:rsidR="00BD0FB2" w:rsidRPr="00781BD6">
        <w:rPr>
          <w:b/>
          <w:sz w:val="20"/>
          <w:szCs w:val="20"/>
          <w:highlight w:val="yellow"/>
        </w:rPr>
        <w:t>4. RESULTS AND DISCUSSION</w:t>
      </w:r>
    </w:p>
    <w:p w:rsidR="00BD0FB2" w:rsidRPr="00781BD6" w:rsidRDefault="00BD0FB2" w:rsidP="00BD0FB2">
      <w:pPr>
        <w:rPr>
          <w:b/>
          <w:sz w:val="20"/>
          <w:szCs w:val="20"/>
        </w:rPr>
      </w:pPr>
      <w:r w:rsidRPr="00781BD6">
        <w:rPr>
          <w:b/>
          <w:sz w:val="20"/>
          <w:szCs w:val="20"/>
        </w:rPr>
        <w:t xml:space="preserve"> Physical Properties of Rice Husk Ash (RHA); Sand and Gravel </w:t>
      </w:r>
      <w:proofErr w:type="gramStart"/>
      <w:r w:rsidRPr="00781BD6">
        <w:rPr>
          <w:b/>
          <w:sz w:val="20"/>
          <w:szCs w:val="20"/>
        </w:rPr>
        <w:t>The</w:t>
      </w:r>
      <w:proofErr w:type="gramEnd"/>
      <w:r w:rsidRPr="00781BD6">
        <w:rPr>
          <w:b/>
          <w:sz w:val="20"/>
          <w:szCs w:val="20"/>
        </w:rPr>
        <w:t xml:space="preserve"> following physical properties of RHA, sand    and aggregate were investigated in the laboratory and the results obtained from the specific gravity test.</w:t>
      </w:r>
    </w:p>
    <w:p w:rsidR="00BD0FB2" w:rsidRPr="00781BD6" w:rsidRDefault="00BD0FB2" w:rsidP="00781BD6">
      <w:pPr>
        <w:pStyle w:val="ListParagraph"/>
        <w:numPr>
          <w:ilvl w:val="0"/>
          <w:numId w:val="1"/>
        </w:numPr>
        <w:rPr>
          <w:b/>
          <w:color w:val="FF0000"/>
          <w:sz w:val="20"/>
          <w:szCs w:val="20"/>
        </w:rPr>
      </w:pPr>
      <w:r w:rsidRPr="00781BD6">
        <w:rPr>
          <w:b/>
          <w:color w:val="FF0000"/>
          <w:sz w:val="20"/>
          <w:szCs w:val="20"/>
        </w:rPr>
        <w:t>Results of Specific Gravity -</w:t>
      </w:r>
    </w:p>
    <w:p w:rsidR="00BD0FB2" w:rsidRPr="00781BD6" w:rsidRDefault="00BD0FB2" w:rsidP="00BD0FB2">
      <w:pPr>
        <w:rPr>
          <w:b/>
          <w:sz w:val="20"/>
          <w:szCs w:val="20"/>
        </w:rPr>
      </w:pPr>
      <w:r w:rsidRPr="00781BD6">
        <w:rPr>
          <w:b/>
          <w:sz w:val="20"/>
          <w:szCs w:val="20"/>
        </w:rPr>
        <w:t>The results show that the specific gravity of RHA varies from 1.5 to 1.56 with an average value of 1.55, while the specific gravity of sand used had a constant value of 1.52.</w:t>
      </w:r>
    </w:p>
    <w:p w:rsidR="00BD0FB2" w:rsidRPr="00781BD6" w:rsidRDefault="00BD0FB2" w:rsidP="00781BD6">
      <w:pPr>
        <w:pStyle w:val="ListParagraph"/>
        <w:numPr>
          <w:ilvl w:val="0"/>
          <w:numId w:val="2"/>
        </w:numPr>
        <w:rPr>
          <w:b/>
          <w:color w:val="FF0000"/>
          <w:sz w:val="20"/>
          <w:szCs w:val="20"/>
        </w:rPr>
      </w:pPr>
      <w:r w:rsidRPr="00781BD6">
        <w:rPr>
          <w:b/>
          <w:color w:val="FF0000"/>
          <w:sz w:val="20"/>
          <w:szCs w:val="20"/>
        </w:rPr>
        <w:t>Results of Specific Gravity-</w:t>
      </w:r>
    </w:p>
    <w:p w:rsidR="00BD0FB2" w:rsidRPr="00781BD6" w:rsidRDefault="00BD0FB2" w:rsidP="00BD0FB2">
      <w:pPr>
        <w:rPr>
          <w:b/>
          <w:sz w:val="20"/>
          <w:szCs w:val="20"/>
        </w:rPr>
      </w:pPr>
      <w:r w:rsidRPr="00781BD6">
        <w:rPr>
          <w:b/>
          <w:sz w:val="20"/>
          <w:szCs w:val="20"/>
        </w:rPr>
        <w:t>The results show that the specific gravity of RHA varies from 1.5 to 1.56 with an average value of 1.55, while the specific gravity of sand used had a constant value of 1.52</w:t>
      </w:r>
    </w:p>
    <w:p w:rsidR="00BD0FB2" w:rsidRPr="00781BD6" w:rsidRDefault="00BD0FB2" w:rsidP="00781BD6">
      <w:pPr>
        <w:pStyle w:val="ListParagraph"/>
        <w:numPr>
          <w:ilvl w:val="0"/>
          <w:numId w:val="3"/>
        </w:numPr>
        <w:rPr>
          <w:b/>
          <w:color w:val="FF0000"/>
          <w:sz w:val="20"/>
          <w:szCs w:val="20"/>
        </w:rPr>
      </w:pPr>
      <w:r w:rsidRPr="00781BD6">
        <w:rPr>
          <w:b/>
          <w:color w:val="FF0000"/>
          <w:sz w:val="20"/>
          <w:szCs w:val="20"/>
        </w:rPr>
        <w:t>Particle Size Distribution-</w:t>
      </w:r>
    </w:p>
    <w:p w:rsidR="0064000C" w:rsidRPr="00781BD6" w:rsidRDefault="00BD0FB2" w:rsidP="00BD0FB2">
      <w:pPr>
        <w:rPr>
          <w:b/>
          <w:sz w:val="20"/>
          <w:szCs w:val="20"/>
        </w:rPr>
      </w:pPr>
      <w:r w:rsidRPr="00781BD6">
        <w:rPr>
          <w:b/>
          <w:sz w:val="20"/>
          <w:szCs w:val="20"/>
        </w:rPr>
        <w:t>The results of the particle size distribution analysis carried out in this research work are graphically presented in figure.1 Graphical Presentation of Particle Size Distribution Results of RHA, Sand and Coarse Aggregates used in this investigation</w:t>
      </w:r>
    </w:p>
    <w:p w:rsidR="00BD0FB2" w:rsidRPr="00781BD6" w:rsidRDefault="00BD0FB2" w:rsidP="00781BD6">
      <w:pPr>
        <w:pStyle w:val="ListParagraph"/>
        <w:numPr>
          <w:ilvl w:val="0"/>
          <w:numId w:val="4"/>
        </w:numPr>
        <w:rPr>
          <w:b/>
          <w:color w:val="FF0000"/>
          <w:sz w:val="20"/>
          <w:szCs w:val="20"/>
        </w:rPr>
      </w:pPr>
      <w:r w:rsidRPr="00781BD6">
        <w:rPr>
          <w:b/>
          <w:color w:val="FF0000"/>
          <w:sz w:val="20"/>
          <w:szCs w:val="20"/>
        </w:rPr>
        <w:t>Bulk Density-</w:t>
      </w:r>
    </w:p>
    <w:p w:rsidR="0064000C" w:rsidRDefault="00BD0FB2" w:rsidP="00BD0FB2">
      <w:pPr>
        <w:rPr>
          <w:b/>
          <w:sz w:val="18"/>
          <w:szCs w:val="18"/>
        </w:rPr>
      </w:pPr>
      <w:r w:rsidRPr="0064000C">
        <w:rPr>
          <w:b/>
          <w:sz w:val="18"/>
          <w:szCs w:val="18"/>
        </w:rPr>
        <w:t>The bulk densities of RHA, sand and the coarse aggregate used was found to be 20, 45 and 65kg/m3 respectively.</w:t>
      </w:r>
    </w:p>
    <w:p w:rsidR="00781BD6" w:rsidRPr="0064000C" w:rsidRDefault="00BD0FB2" w:rsidP="00BD0FB2">
      <w:pPr>
        <w:rPr>
          <w:b/>
          <w:sz w:val="18"/>
          <w:szCs w:val="18"/>
        </w:rPr>
      </w:pPr>
      <w:r w:rsidRPr="001172A2">
        <w:rPr>
          <w:b/>
          <w:color w:val="00B050"/>
          <w:sz w:val="20"/>
          <w:szCs w:val="20"/>
        </w:rPr>
        <w:lastRenderedPageBreak/>
        <w:t>Figure 1.</w:t>
      </w:r>
    </w:p>
    <w:p w:rsidR="004848F6" w:rsidRPr="001172A2" w:rsidRDefault="00BD0FB2" w:rsidP="00BD0FB2">
      <w:pPr>
        <w:rPr>
          <w:b/>
          <w:color w:val="00B050"/>
          <w:sz w:val="20"/>
          <w:szCs w:val="20"/>
        </w:rPr>
      </w:pPr>
      <w:r w:rsidRPr="001172A2">
        <w:rPr>
          <w:b/>
          <w:color w:val="00B050"/>
          <w:sz w:val="20"/>
          <w:szCs w:val="20"/>
        </w:rPr>
        <w:t>Graphical Presentation of Particle Size Distribution Results of RHA, Sand and Coarse Aggregates used in this investigation</w:t>
      </w:r>
      <w:r w:rsidR="004848F6" w:rsidRPr="001172A2">
        <w:rPr>
          <w:b/>
          <w:color w:val="00B050"/>
          <w:sz w:val="20"/>
          <w:szCs w:val="20"/>
        </w:rPr>
        <w:t xml:space="preserve">           </w:t>
      </w:r>
    </w:p>
    <w:p w:rsidR="004848F6" w:rsidRDefault="00781BD6" w:rsidP="008411EA">
      <w:pPr>
        <w:rPr>
          <w:b/>
        </w:rPr>
      </w:pPr>
      <w:r>
        <w:rPr>
          <w:noProof/>
        </w:rPr>
        <w:drawing>
          <wp:inline distT="0" distB="0" distL="0" distR="0" wp14:anchorId="76A676ED" wp14:editId="6B2D5170">
            <wp:extent cx="6724650" cy="3366770"/>
            <wp:effectExtent l="0" t="0" r="0" b="5080"/>
            <wp:docPr id="2" name="image6.jpeg"/>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24650" cy="3366770"/>
                    </a:xfrm>
                    <a:prstGeom prst="rect">
                      <a:avLst/>
                    </a:prstGeom>
                  </pic:spPr>
                </pic:pic>
              </a:graphicData>
            </a:graphic>
          </wp:inline>
        </w:drawing>
      </w:r>
    </w:p>
    <w:p w:rsidR="006779C5" w:rsidRDefault="006779C5" w:rsidP="006779C5">
      <w:pPr>
        <w:spacing w:before="113"/>
        <w:rPr>
          <w:b/>
        </w:rPr>
      </w:pPr>
      <w:r>
        <w:rPr>
          <w:b/>
        </w:rPr>
        <w:t xml:space="preserve">      </w:t>
      </w:r>
    </w:p>
    <w:p w:rsidR="00996A9E" w:rsidRPr="001172A2" w:rsidRDefault="00996A9E" w:rsidP="006779C5">
      <w:pPr>
        <w:spacing w:before="113"/>
        <w:rPr>
          <w:b/>
          <w:color w:val="00B050"/>
          <w:sz w:val="20"/>
          <w:szCs w:val="20"/>
        </w:rPr>
      </w:pPr>
      <w:r w:rsidRPr="001172A2">
        <w:rPr>
          <w:b/>
          <w:color w:val="00B050"/>
          <w:sz w:val="20"/>
          <w:szCs w:val="20"/>
        </w:rPr>
        <w:t>Table 2. Density Values for Various RHA Concrete Mixes</w:t>
      </w:r>
    </w:p>
    <w:tbl>
      <w:tblPr>
        <w:tblW w:w="6720" w:type="dxa"/>
        <w:tblInd w:w="-5" w:type="dxa"/>
        <w:tblLook w:val="04A0" w:firstRow="1" w:lastRow="0" w:firstColumn="1" w:lastColumn="0" w:noHBand="0" w:noVBand="1"/>
      </w:tblPr>
      <w:tblGrid>
        <w:gridCol w:w="960"/>
        <w:gridCol w:w="960"/>
        <w:gridCol w:w="2880"/>
        <w:gridCol w:w="960"/>
        <w:gridCol w:w="960"/>
      </w:tblGrid>
      <w:tr w:rsidR="006779C5" w:rsidRPr="006779C5" w:rsidTr="006779C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9C5" w:rsidRPr="006779C5" w:rsidRDefault="006779C5" w:rsidP="006779C5">
            <w:pPr>
              <w:spacing w:after="0" w:line="240" w:lineRule="auto"/>
              <w:rPr>
                <w:rFonts w:ascii="Arial" w:eastAsia="Times New Roman" w:hAnsi="Arial" w:cs="Arial"/>
                <w:color w:val="000000"/>
                <w:sz w:val="16"/>
                <w:szCs w:val="16"/>
              </w:rPr>
            </w:pPr>
            <w:r w:rsidRPr="006779C5">
              <w:rPr>
                <w:rFonts w:ascii="Arial" w:eastAsia="Times New Roman" w:hAnsi="Arial" w:cs="Arial"/>
                <w:color w:val="000000"/>
                <w:sz w:val="16"/>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79C5" w:rsidRPr="006779C5" w:rsidRDefault="006779C5" w:rsidP="006779C5">
            <w:pPr>
              <w:spacing w:after="0" w:line="240" w:lineRule="auto"/>
              <w:rPr>
                <w:rFonts w:ascii="Calibri" w:eastAsia="Times New Roman" w:hAnsi="Calibri" w:cs="Calibri"/>
                <w:color w:val="000000"/>
              </w:rPr>
            </w:pPr>
            <w:r w:rsidRPr="006779C5">
              <w:rPr>
                <w:rFonts w:ascii="Calibri" w:eastAsia="Times New Roman" w:hAnsi="Calibri" w:cs="Calibri"/>
                <w:color w:val="000000"/>
              </w:rPr>
              <w:t> </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6779C5" w:rsidRPr="006779C5" w:rsidRDefault="006779C5" w:rsidP="006779C5">
            <w:pPr>
              <w:spacing w:after="0" w:line="240" w:lineRule="auto"/>
              <w:rPr>
                <w:rFonts w:ascii="Calibri" w:eastAsia="Times New Roman" w:hAnsi="Calibri" w:cs="Calibri"/>
                <w:color w:val="000000"/>
              </w:rPr>
            </w:pPr>
            <w:r w:rsidRPr="006779C5">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79C5" w:rsidRPr="006779C5" w:rsidRDefault="006779C5" w:rsidP="006779C5">
            <w:pPr>
              <w:spacing w:after="0" w:line="240" w:lineRule="auto"/>
              <w:rPr>
                <w:rFonts w:ascii="Calibri" w:eastAsia="Times New Roman" w:hAnsi="Calibri" w:cs="Calibri"/>
                <w:color w:val="000000"/>
              </w:rPr>
            </w:pPr>
            <w:r w:rsidRPr="006779C5">
              <w:rPr>
                <w:rFonts w:ascii="Calibri" w:eastAsia="Times New Roman" w:hAnsi="Calibri" w:cs="Calibri"/>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79C5" w:rsidRPr="006779C5" w:rsidRDefault="006779C5" w:rsidP="006779C5">
            <w:pPr>
              <w:spacing w:after="0" w:line="240" w:lineRule="auto"/>
              <w:rPr>
                <w:rFonts w:ascii="Calibri" w:eastAsia="Times New Roman" w:hAnsi="Calibri" w:cs="Calibri"/>
                <w:color w:val="000000"/>
              </w:rPr>
            </w:pPr>
            <w:r w:rsidRPr="006779C5">
              <w:rPr>
                <w:rFonts w:ascii="Calibri" w:eastAsia="Times New Roman" w:hAnsi="Calibri" w:cs="Calibri"/>
                <w:color w:val="000000"/>
              </w:rPr>
              <w:t> </w:t>
            </w:r>
          </w:p>
        </w:tc>
      </w:tr>
      <w:tr w:rsidR="006779C5" w:rsidRPr="006779C5" w:rsidTr="006779C5">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rPr>
                <w:rFonts w:ascii="Times New Roman" w:eastAsia="Times New Roman" w:hAnsi="Times New Roman" w:cs="Times New Roman"/>
                <w:color w:val="000000"/>
                <w:sz w:val="14"/>
                <w:szCs w:val="14"/>
              </w:rPr>
            </w:pPr>
            <w:r w:rsidRPr="006779C5">
              <w:rPr>
                <w:rFonts w:ascii="Times New Roman" w:eastAsia="Times New Roman" w:hAnsi="Times New Roman" w:cs="Times New Roman"/>
                <w:color w:val="000000"/>
                <w:sz w:val="14"/>
                <w:szCs w:val="14"/>
              </w:rPr>
              <w:t> </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rPr>
                <w:rFonts w:ascii="Arial" w:eastAsia="Times New Roman" w:hAnsi="Arial" w:cs="Arial"/>
                <w:b/>
                <w:bCs/>
                <w:color w:val="000000"/>
                <w:sz w:val="18"/>
                <w:szCs w:val="18"/>
              </w:rPr>
            </w:pPr>
            <w:r w:rsidRPr="006779C5">
              <w:rPr>
                <w:rFonts w:ascii="Arial" w:eastAsia="Times New Roman" w:hAnsi="Arial" w:cs="Arial"/>
                <w:b/>
                <w:bCs/>
                <w:color w:val="000000"/>
                <w:sz w:val="18"/>
              </w:rPr>
              <w:t>Age</w:t>
            </w:r>
          </w:p>
        </w:tc>
        <w:tc>
          <w:tcPr>
            <w:tcW w:w="4800" w:type="dxa"/>
            <w:gridSpan w:val="3"/>
            <w:tcBorders>
              <w:top w:val="single" w:sz="4" w:space="0" w:color="auto"/>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rPr>
                <w:rFonts w:ascii="Arial" w:eastAsia="Times New Roman" w:hAnsi="Arial" w:cs="Arial"/>
                <w:b/>
                <w:bCs/>
                <w:color w:val="000000"/>
                <w:sz w:val="18"/>
                <w:szCs w:val="18"/>
              </w:rPr>
            </w:pPr>
            <w:r w:rsidRPr="006779C5">
              <w:rPr>
                <w:rFonts w:ascii="Arial" w:eastAsia="Times New Roman" w:hAnsi="Arial" w:cs="Arial"/>
                <w:b/>
                <w:bCs/>
                <w:color w:val="000000"/>
                <w:sz w:val="18"/>
              </w:rPr>
              <w:t>Percentage Replacement with RHA</w:t>
            </w:r>
          </w:p>
        </w:tc>
      </w:tr>
      <w:tr w:rsidR="006779C5" w:rsidRPr="006779C5" w:rsidTr="006779C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rPr>
                <w:rFonts w:ascii="Times New Roman" w:eastAsia="Times New Roman" w:hAnsi="Times New Roman" w:cs="Times New Roman"/>
                <w:color w:val="000000"/>
                <w:sz w:val="14"/>
                <w:szCs w:val="14"/>
              </w:rPr>
            </w:pPr>
            <w:r w:rsidRPr="006779C5">
              <w:rPr>
                <w:rFonts w:ascii="Times New Roman" w:eastAsia="Times New Roman" w:hAnsi="Times New Roman" w:cs="Times New Roman"/>
                <w:color w:val="000000"/>
                <w:sz w:val="14"/>
                <w:szCs w:val="14"/>
              </w:rPr>
              <w:t> </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rPr>
                <w:rFonts w:ascii="Arial" w:eastAsia="Times New Roman" w:hAnsi="Arial" w:cs="Arial"/>
                <w:color w:val="000000"/>
                <w:sz w:val="18"/>
                <w:szCs w:val="18"/>
              </w:rPr>
            </w:pPr>
            <w:r w:rsidRPr="006779C5">
              <w:rPr>
                <w:rFonts w:ascii="Arial" w:eastAsia="Times New Roman" w:hAnsi="Arial" w:cs="Arial"/>
                <w:color w:val="000000"/>
                <w:sz w:val="18"/>
              </w:rPr>
              <w:t>Days</w:t>
            </w:r>
          </w:p>
        </w:tc>
        <w:tc>
          <w:tcPr>
            <w:tcW w:w="288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10%</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20%</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25%</w:t>
            </w:r>
          </w:p>
        </w:tc>
      </w:tr>
      <w:tr w:rsidR="006779C5" w:rsidRPr="006779C5" w:rsidTr="006779C5">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rPr>
                <w:rFonts w:ascii="Arial" w:eastAsia="Times New Roman" w:hAnsi="Arial" w:cs="Arial"/>
                <w:color w:val="000000"/>
                <w:sz w:val="18"/>
                <w:szCs w:val="18"/>
              </w:rPr>
            </w:pPr>
            <w:r w:rsidRPr="006779C5">
              <w:rPr>
                <w:rFonts w:ascii="Arial" w:eastAsia="Times New Roman" w:hAnsi="Arial" w:cs="Arial"/>
                <w:color w:val="000000"/>
                <w:sz w:val="18"/>
              </w:rPr>
              <w:t>Average Densities</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w w:val="99"/>
                <w:sz w:val="18"/>
              </w:rPr>
              <w:t>7</w:t>
            </w:r>
          </w:p>
        </w:tc>
        <w:tc>
          <w:tcPr>
            <w:tcW w:w="288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2038</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1901</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1948</w:t>
            </w:r>
          </w:p>
        </w:tc>
      </w:tr>
      <w:tr w:rsidR="006779C5" w:rsidRPr="006779C5" w:rsidTr="006779C5">
        <w:trPr>
          <w:trHeight w:val="75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rPr>
                <w:rFonts w:ascii="Arial" w:eastAsia="Times New Roman" w:hAnsi="Arial" w:cs="Arial"/>
                <w:color w:val="000000"/>
                <w:sz w:val="18"/>
                <w:szCs w:val="18"/>
              </w:rPr>
            </w:pPr>
            <w:r w:rsidRPr="006779C5">
              <w:rPr>
                <w:rFonts w:ascii="Arial" w:eastAsia="Times New Roman" w:hAnsi="Arial" w:cs="Arial"/>
                <w:color w:val="000000"/>
                <w:sz w:val="18"/>
              </w:rPr>
              <w:t>of RHA Concrete in KN/m</w:t>
            </w:r>
            <w:r w:rsidRPr="006779C5">
              <w:rPr>
                <w:rFonts w:ascii="Arial" w:eastAsia="Times New Roman" w:hAnsi="Arial" w:cs="Arial"/>
                <w:color w:val="000000"/>
                <w:sz w:val="18"/>
                <w:szCs w:val="18"/>
                <w:vertAlign w:val="superscript"/>
              </w:rPr>
              <w:t>3</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14</w:t>
            </w:r>
          </w:p>
        </w:tc>
        <w:tc>
          <w:tcPr>
            <w:tcW w:w="288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2052</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1875</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1914</w:t>
            </w:r>
          </w:p>
        </w:tc>
      </w:tr>
      <w:tr w:rsidR="006779C5" w:rsidRPr="006779C5" w:rsidTr="006779C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rPr>
                <w:rFonts w:ascii="Times New Roman" w:eastAsia="Times New Roman" w:hAnsi="Times New Roman" w:cs="Times New Roman"/>
                <w:color w:val="000000"/>
                <w:sz w:val="14"/>
                <w:szCs w:val="14"/>
              </w:rPr>
            </w:pPr>
            <w:r w:rsidRPr="006779C5">
              <w:rPr>
                <w:rFonts w:ascii="Times New Roman" w:eastAsia="Times New Roman" w:hAnsi="Times New Roman" w:cs="Times New Roman"/>
                <w:color w:val="000000"/>
                <w:sz w:val="14"/>
                <w:szCs w:val="14"/>
              </w:rPr>
              <w:t> </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21</w:t>
            </w:r>
          </w:p>
        </w:tc>
        <w:tc>
          <w:tcPr>
            <w:tcW w:w="288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2064</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1909</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1937</w:t>
            </w:r>
          </w:p>
        </w:tc>
      </w:tr>
      <w:tr w:rsidR="006779C5" w:rsidRPr="006779C5" w:rsidTr="006779C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rPr>
                <w:rFonts w:ascii="Times New Roman" w:eastAsia="Times New Roman" w:hAnsi="Times New Roman" w:cs="Times New Roman"/>
                <w:color w:val="000000"/>
                <w:sz w:val="14"/>
                <w:szCs w:val="14"/>
              </w:rPr>
            </w:pPr>
            <w:r w:rsidRPr="006779C5">
              <w:rPr>
                <w:rFonts w:ascii="Times New Roman" w:eastAsia="Times New Roman" w:hAnsi="Times New Roman" w:cs="Times New Roman"/>
                <w:color w:val="000000"/>
                <w:sz w:val="14"/>
                <w:szCs w:val="14"/>
              </w:rPr>
              <w:t> </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28</w:t>
            </w:r>
          </w:p>
        </w:tc>
        <w:tc>
          <w:tcPr>
            <w:tcW w:w="288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2017</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1950</w:t>
            </w:r>
          </w:p>
        </w:tc>
        <w:tc>
          <w:tcPr>
            <w:tcW w:w="960" w:type="dxa"/>
            <w:tcBorders>
              <w:top w:val="nil"/>
              <w:left w:val="nil"/>
              <w:bottom w:val="single" w:sz="4" w:space="0" w:color="auto"/>
              <w:right w:val="single" w:sz="4" w:space="0" w:color="auto"/>
            </w:tcBorders>
            <w:shd w:val="clear" w:color="auto" w:fill="auto"/>
            <w:vAlign w:val="center"/>
            <w:hideMark/>
          </w:tcPr>
          <w:p w:rsidR="006779C5" w:rsidRPr="006779C5" w:rsidRDefault="006779C5" w:rsidP="006779C5">
            <w:pPr>
              <w:spacing w:after="0" w:line="240" w:lineRule="auto"/>
              <w:jc w:val="right"/>
              <w:rPr>
                <w:rFonts w:ascii="Arial" w:eastAsia="Times New Roman" w:hAnsi="Arial" w:cs="Arial"/>
                <w:color w:val="000000"/>
                <w:sz w:val="18"/>
                <w:szCs w:val="18"/>
              </w:rPr>
            </w:pPr>
            <w:r w:rsidRPr="006779C5">
              <w:rPr>
                <w:rFonts w:ascii="Arial" w:eastAsia="Times New Roman" w:hAnsi="Arial" w:cs="Arial"/>
                <w:color w:val="000000"/>
                <w:sz w:val="18"/>
              </w:rPr>
              <w:t>1902</w:t>
            </w:r>
          </w:p>
        </w:tc>
      </w:tr>
    </w:tbl>
    <w:p w:rsidR="0064000C" w:rsidRDefault="0064000C" w:rsidP="001172A2">
      <w:pPr>
        <w:spacing w:before="113"/>
        <w:rPr>
          <w:highlight w:val="yellow"/>
        </w:rPr>
      </w:pPr>
    </w:p>
    <w:p w:rsidR="0064000C" w:rsidRDefault="0064000C" w:rsidP="001172A2">
      <w:pPr>
        <w:spacing w:before="113"/>
        <w:rPr>
          <w:highlight w:val="yellow"/>
        </w:rPr>
      </w:pPr>
    </w:p>
    <w:p w:rsidR="001172A2" w:rsidRPr="001172A2" w:rsidRDefault="001172A2" w:rsidP="001172A2">
      <w:pPr>
        <w:spacing w:before="113"/>
      </w:pPr>
      <w:r w:rsidRPr="001172A2">
        <w:rPr>
          <w:highlight w:val="yellow"/>
        </w:rPr>
        <w:t>Workability (Slump)</w:t>
      </w:r>
    </w:p>
    <w:p w:rsidR="0064000C" w:rsidRPr="001172A2" w:rsidRDefault="001172A2" w:rsidP="001172A2">
      <w:pPr>
        <w:spacing w:before="113"/>
        <w:rPr>
          <w:sz w:val="20"/>
          <w:szCs w:val="20"/>
        </w:rPr>
      </w:pPr>
      <w:r w:rsidRPr="001172A2">
        <w:rPr>
          <w:sz w:val="20"/>
          <w:szCs w:val="20"/>
        </w:rPr>
        <w:t>The workability test results are presented in Appendix IV. The workability test results show that RHA concrete can be graded under S2 using the European classification ENV 206:1992 having the slump of 50-90 and by TRRL classification, the workability is described as medium with compacting factor of 0.90 and slump of 50 – 100mm.</w:t>
      </w:r>
    </w:p>
    <w:p w:rsidR="001172A2" w:rsidRPr="001172A2" w:rsidRDefault="001172A2" w:rsidP="001172A2">
      <w:pPr>
        <w:pStyle w:val="ListParagraph"/>
        <w:numPr>
          <w:ilvl w:val="0"/>
          <w:numId w:val="5"/>
        </w:numPr>
        <w:spacing w:before="113"/>
        <w:rPr>
          <w:color w:val="FF0000"/>
          <w:sz w:val="20"/>
          <w:szCs w:val="20"/>
        </w:rPr>
      </w:pPr>
      <w:r w:rsidRPr="001172A2">
        <w:rPr>
          <w:color w:val="FF0000"/>
          <w:sz w:val="20"/>
          <w:szCs w:val="20"/>
        </w:rPr>
        <w:lastRenderedPageBreak/>
        <w:t>Density</w:t>
      </w:r>
    </w:p>
    <w:p w:rsidR="001172A2" w:rsidRPr="001172A2" w:rsidRDefault="001172A2" w:rsidP="001172A2">
      <w:pPr>
        <w:spacing w:before="113"/>
        <w:rPr>
          <w:sz w:val="20"/>
          <w:szCs w:val="20"/>
        </w:rPr>
      </w:pPr>
      <w:r w:rsidRPr="001172A2">
        <w:rPr>
          <w:sz w:val="20"/>
          <w:szCs w:val="20"/>
        </w:rPr>
        <w:t xml:space="preserve"> The density of RHA was investigated as stated in the methodology and the results are analyzed and presented as a ratio of the mass to that of the volume. Density Values for Various RHA Concrete Mixes table 2 and 3</w:t>
      </w:r>
      <w:proofErr w:type="gramStart"/>
      <w:r w:rsidRPr="001172A2">
        <w:rPr>
          <w:sz w:val="20"/>
          <w:szCs w:val="20"/>
        </w:rPr>
        <w:t>..</w:t>
      </w:r>
      <w:proofErr w:type="gramEnd"/>
      <w:r w:rsidRPr="001172A2">
        <w:rPr>
          <w:sz w:val="20"/>
          <w:szCs w:val="20"/>
        </w:rPr>
        <w:t xml:space="preserve"> From the above results of density, it can be seen that the density of RHA is in the same range for all replacement levels. According to BS 877, it can be classified as light weight concrete.</w:t>
      </w:r>
    </w:p>
    <w:p w:rsidR="001172A2" w:rsidRPr="001172A2" w:rsidRDefault="001172A2" w:rsidP="001172A2">
      <w:pPr>
        <w:pStyle w:val="ListParagraph"/>
        <w:numPr>
          <w:ilvl w:val="0"/>
          <w:numId w:val="6"/>
        </w:numPr>
        <w:spacing w:before="113"/>
        <w:rPr>
          <w:color w:val="FF0000"/>
          <w:sz w:val="20"/>
          <w:szCs w:val="20"/>
        </w:rPr>
      </w:pPr>
      <w:r w:rsidRPr="001172A2">
        <w:rPr>
          <w:color w:val="FF0000"/>
          <w:sz w:val="20"/>
          <w:szCs w:val="20"/>
        </w:rPr>
        <w:t>Compressive Strength of RHA Concrete</w:t>
      </w:r>
    </w:p>
    <w:p w:rsidR="001172A2" w:rsidRPr="001172A2" w:rsidRDefault="001172A2" w:rsidP="001172A2">
      <w:pPr>
        <w:spacing w:before="113"/>
        <w:rPr>
          <w:sz w:val="20"/>
          <w:szCs w:val="20"/>
        </w:rPr>
      </w:pPr>
      <w:r w:rsidRPr="001172A2">
        <w:rPr>
          <w:sz w:val="20"/>
          <w:szCs w:val="20"/>
        </w:rPr>
        <w:t>The compressive strength of RHA concrete was investigated at 7, 14, 21 and 28days curing age. The summary of the results are presented graphically and tabulated in a figure 2 below for different replacement percentages of RHA.</w:t>
      </w:r>
    </w:p>
    <w:p w:rsidR="00352611" w:rsidRDefault="00352611" w:rsidP="001172A2">
      <w:pPr>
        <w:spacing w:before="113"/>
        <w:rPr>
          <w:sz w:val="20"/>
          <w:szCs w:val="20"/>
        </w:rPr>
      </w:pPr>
    </w:p>
    <w:p w:rsidR="001172A2" w:rsidRPr="001172A2" w:rsidRDefault="001172A2" w:rsidP="001172A2">
      <w:pPr>
        <w:spacing w:before="113"/>
        <w:rPr>
          <w:sz w:val="20"/>
          <w:szCs w:val="20"/>
        </w:rPr>
      </w:pPr>
      <w:r w:rsidRPr="001172A2">
        <w:rPr>
          <w:sz w:val="20"/>
          <w:szCs w:val="20"/>
        </w:rPr>
        <w:t xml:space="preserve"> </w:t>
      </w:r>
      <w:r w:rsidRPr="001172A2">
        <w:rPr>
          <w:sz w:val="20"/>
          <w:szCs w:val="20"/>
          <w:highlight w:val="yellow"/>
        </w:rPr>
        <w:t>5. CONCLUSION</w:t>
      </w:r>
    </w:p>
    <w:p w:rsidR="001172A2" w:rsidRDefault="001172A2" w:rsidP="001172A2">
      <w:pPr>
        <w:spacing w:before="113"/>
        <w:rPr>
          <w:sz w:val="20"/>
          <w:szCs w:val="20"/>
        </w:rPr>
      </w:pPr>
      <w:r w:rsidRPr="001172A2">
        <w:rPr>
          <w:sz w:val="20"/>
          <w:szCs w:val="20"/>
        </w:rPr>
        <w:t>The use of RHA in civil construction works will reduce environmental pollution, improve the quality of concrete, and reduce its cost of production as well as solving the problem of agro-waste management by putting into use this locally found additive (RHA).</w:t>
      </w:r>
    </w:p>
    <w:p w:rsidR="00487845" w:rsidRDefault="00487845" w:rsidP="001172A2">
      <w:pPr>
        <w:spacing w:before="113"/>
        <w:rPr>
          <w:sz w:val="20"/>
          <w:szCs w:val="20"/>
        </w:rPr>
      </w:pPr>
    </w:p>
    <w:p w:rsidR="006779C5" w:rsidRDefault="001172A2" w:rsidP="001172A2">
      <w:pPr>
        <w:spacing w:before="113"/>
        <w:rPr>
          <w:sz w:val="20"/>
          <w:szCs w:val="20"/>
        </w:rPr>
      </w:pPr>
      <w:r w:rsidRPr="001172A2">
        <w:rPr>
          <w:sz w:val="20"/>
          <w:szCs w:val="20"/>
        </w:rPr>
        <w:t>Adding RHA to concrete resulted in increased water demand, increase in workability and enhanced strength compared to the control sample. The compressive strength values at 28days were found to be 38.4, 36.5 and 33N/mm2 compared to the control with 37N/mm2. This results show that an addition of RHA from 5-10% will increase the strength and a further addition up to 15- 25%RHA will have a slight reduction in strength of 15% and a decreasing in strength values is pointed out when the levels of RHA are increasing (figure 2).</w:t>
      </w:r>
    </w:p>
    <w:p w:rsidR="001172A2" w:rsidRDefault="001172A2" w:rsidP="001172A2">
      <w:pPr>
        <w:rPr>
          <w:b/>
          <w:color w:val="00B050"/>
          <w:sz w:val="20"/>
          <w:szCs w:val="20"/>
        </w:rPr>
      </w:pPr>
    </w:p>
    <w:p w:rsidR="00352611" w:rsidRDefault="00352611" w:rsidP="001172A2">
      <w:pPr>
        <w:rPr>
          <w:b/>
          <w:color w:val="00B050"/>
          <w:sz w:val="20"/>
          <w:szCs w:val="20"/>
        </w:rPr>
      </w:pPr>
    </w:p>
    <w:p w:rsidR="00487845" w:rsidRDefault="00487845" w:rsidP="00487845">
      <w:pPr>
        <w:rPr>
          <w:b/>
          <w:color w:val="00B050"/>
          <w:sz w:val="20"/>
          <w:szCs w:val="20"/>
        </w:rPr>
      </w:pPr>
      <w:r w:rsidRPr="00487845">
        <w:rPr>
          <w:b/>
          <w:color w:val="00B050"/>
          <w:sz w:val="20"/>
          <w:szCs w:val="20"/>
        </w:rPr>
        <w:t>Table 3: Density Values for Various RHA Concrete Mixes</w:t>
      </w:r>
    </w:p>
    <w:p w:rsidR="00352611" w:rsidRDefault="00352611" w:rsidP="00487845">
      <w:pPr>
        <w:rPr>
          <w:b/>
          <w:color w:val="00B050"/>
          <w:sz w:val="20"/>
          <w:szCs w:val="20"/>
        </w:rPr>
      </w:pPr>
    </w:p>
    <w:p w:rsidR="00352611" w:rsidRPr="00487845" w:rsidRDefault="00352611" w:rsidP="00487845">
      <w:pPr>
        <w:rPr>
          <w:b/>
          <w:color w:val="00B050"/>
          <w:sz w:val="20"/>
          <w:szCs w:val="20"/>
        </w:rPr>
      </w:pPr>
    </w:p>
    <w:tbl>
      <w:tblPr>
        <w:tblW w:w="6720" w:type="dxa"/>
        <w:tblInd w:w="-5" w:type="dxa"/>
        <w:tblLook w:val="04A0" w:firstRow="1" w:lastRow="0" w:firstColumn="1" w:lastColumn="0" w:noHBand="0" w:noVBand="1"/>
      </w:tblPr>
      <w:tblGrid>
        <w:gridCol w:w="1348"/>
        <w:gridCol w:w="922"/>
        <w:gridCol w:w="2618"/>
        <w:gridCol w:w="916"/>
        <w:gridCol w:w="916"/>
      </w:tblGrid>
      <w:tr w:rsidR="00487845" w:rsidRPr="00487845" w:rsidTr="00487845">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Times New Roman" w:eastAsia="Times New Roman" w:hAnsi="Times New Roman" w:cs="Times New Roman"/>
                <w:b/>
                <w:bCs/>
                <w:color w:val="000000"/>
                <w:sz w:val="18"/>
                <w:szCs w:val="18"/>
              </w:rPr>
            </w:pPr>
            <w:r w:rsidRPr="00487845">
              <w:rPr>
                <w:rFonts w:ascii="Times New Roman" w:eastAsia="Times New Roman" w:hAnsi="Times New Roman" w:cs="Times New Roman"/>
                <w:b/>
                <w:bCs/>
                <w:color w:val="000000"/>
                <w:sz w:val="18"/>
                <w:szCs w:val="18"/>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Age</w:t>
            </w:r>
          </w:p>
        </w:tc>
        <w:tc>
          <w:tcPr>
            <w:tcW w:w="4800" w:type="dxa"/>
            <w:gridSpan w:val="3"/>
            <w:tcBorders>
              <w:top w:val="single" w:sz="4" w:space="0" w:color="auto"/>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Percentage Replacement with RHA</w:t>
            </w:r>
          </w:p>
        </w:tc>
      </w:tr>
      <w:tr w:rsidR="00487845" w:rsidRPr="00487845" w:rsidTr="0048784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Times New Roman" w:eastAsia="Times New Roman" w:hAnsi="Times New Roman" w:cs="Times New Roman"/>
                <w:b/>
                <w:bCs/>
                <w:color w:val="000000"/>
                <w:sz w:val="18"/>
                <w:szCs w:val="18"/>
              </w:rPr>
            </w:pPr>
            <w:r w:rsidRPr="00487845">
              <w:rPr>
                <w:rFonts w:ascii="Times New Roman" w:eastAsia="Times New Roman" w:hAnsi="Times New Roman" w:cs="Times New Roman"/>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days</w:t>
            </w:r>
          </w:p>
        </w:tc>
        <w:tc>
          <w:tcPr>
            <w:tcW w:w="288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10%</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20%</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25%</w:t>
            </w:r>
          </w:p>
        </w:tc>
      </w:tr>
      <w:tr w:rsidR="00487845" w:rsidRPr="00487845" w:rsidTr="00487845">
        <w:trPr>
          <w:trHeight w:val="7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Average Compressive</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w w:val="99"/>
                <w:sz w:val="18"/>
              </w:rPr>
              <w:t>7</w:t>
            </w:r>
          </w:p>
        </w:tc>
        <w:tc>
          <w:tcPr>
            <w:tcW w:w="288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12</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11</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10</w:t>
            </w:r>
          </w:p>
        </w:tc>
      </w:tr>
      <w:tr w:rsidR="00487845" w:rsidRPr="00487845" w:rsidTr="00487845">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strength N/mm</w:t>
            </w:r>
            <w:r w:rsidRPr="00487845">
              <w:rPr>
                <w:rFonts w:ascii="Arial" w:eastAsia="Times New Roman" w:hAnsi="Arial" w:cs="Arial"/>
                <w:b/>
                <w:bCs/>
                <w:color w:val="000000"/>
                <w:sz w:val="18"/>
                <w:szCs w:val="18"/>
                <w:vertAlign w:val="superscript"/>
              </w:rPr>
              <w:t>2</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14</w:t>
            </w:r>
          </w:p>
        </w:tc>
        <w:tc>
          <w:tcPr>
            <w:tcW w:w="288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14</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13</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12</w:t>
            </w:r>
          </w:p>
        </w:tc>
      </w:tr>
      <w:tr w:rsidR="00487845" w:rsidRPr="00487845" w:rsidTr="0048784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Times New Roman" w:eastAsia="Times New Roman" w:hAnsi="Times New Roman" w:cs="Times New Roman"/>
                <w:b/>
                <w:bCs/>
                <w:color w:val="000000"/>
                <w:sz w:val="18"/>
                <w:szCs w:val="18"/>
              </w:rPr>
            </w:pPr>
            <w:r w:rsidRPr="00487845">
              <w:rPr>
                <w:rFonts w:ascii="Times New Roman" w:eastAsia="Times New Roman" w:hAnsi="Times New Roman" w:cs="Times New Roman"/>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21</w:t>
            </w:r>
          </w:p>
        </w:tc>
        <w:tc>
          <w:tcPr>
            <w:tcW w:w="288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18</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18</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14</w:t>
            </w:r>
          </w:p>
        </w:tc>
      </w:tr>
      <w:tr w:rsidR="00487845" w:rsidRPr="00487845" w:rsidTr="0048784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Times New Roman" w:eastAsia="Times New Roman" w:hAnsi="Times New Roman" w:cs="Times New Roman"/>
                <w:b/>
                <w:bCs/>
                <w:color w:val="000000"/>
                <w:sz w:val="18"/>
                <w:szCs w:val="18"/>
              </w:rPr>
            </w:pPr>
            <w:r w:rsidRPr="00487845">
              <w:rPr>
                <w:rFonts w:ascii="Times New Roman" w:eastAsia="Times New Roman" w:hAnsi="Times New Roman" w:cs="Times New Roman"/>
                <w:b/>
                <w:bCs/>
                <w:color w:val="000000"/>
                <w:sz w:val="18"/>
                <w:szCs w:val="18"/>
              </w:rPr>
              <w:t> </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28</w:t>
            </w:r>
          </w:p>
        </w:tc>
        <w:tc>
          <w:tcPr>
            <w:tcW w:w="288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22</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20</w:t>
            </w:r>
          </w:p>
        </w:tc>
        <w:tc>
          <w:tcPr>
            <w:tcW w:w="960" w:type="dxa"/>
            <w:tcBorders>
              <w:top w:val="nil"/>
              <w:left w:val="nil"/>
              <w:bottom w:val="single" w:sz="4" w:space="0" w:color="auto"/>
              <w:right w:val="single" w:sz="4" w:space="0" w:color="auto"/>
            </w:tcBorders>
            <w:shd w:val="clear" w:color="auto" w:fill="auto"/>
            <w:vAlign w:val="center"/>
            <w:hideMark/>
          </w:tcPr>
          <w:p w:rsidR="00487845" w:rsidRPr="00487845" w:rsidRDefault="00487845" w:rsidP="00487845">
            <w:pPr>
              <w:spacing w:after="0" w:line="240" w:lineRule="auto"/>
              <w:jc w:val="center"/>
              <w:rPr>
                <w:rFonts w:ascii="Arial" w:eastAsia="Times New Roman" w:hAnsi="Arial" w:cs="Arial"/>
                <w:b/>
                <w:bCs/>
                <w:color w:val="000000"/>
                <w:sz w:val="18"/>
                <w:szCs w:val="18"/>
              </w:rPr>
            </w:pPr>
            <w:r w:rsidRPr="00487845">
              <w:rPr>
                <w:rFonts w:ascii="Arial" w:eastAsia="Times New Roman" w:hAnsi="Arial" w:cs="Arial"/>
                <w:b/>
                <w:bCs/>
                <w:color w:val="000000"/>
                <w:sz w:val="18"/>
              </w:rPr>
              <w:t>19</w:t>
            </w:r>
          </w:p>
        </w:tc>
      </w:tr>
    </w:tbl>
    <w:p w:rsidR="001172A2" w:rsidRDefault="001172A2" w:rsidP="001172A2">
      <w:pPr>
        <w:rPr>
          <w:b/>
          <w:color w:val="00B050"/>
          <w:sz w:val="20"/>
          <w:szCs w:val="20"/>
        </w:rPr>
      </w:pPr>
    </w:p>
    <w:p w:rsidR="0064000C" w:rsidRDefault="0064000C" w:rsidP="00487845">
      <w:pPr>
        <w:rPr>
          <w:b/>
          <w:color w:val="00B050"/>
          <w:sz w:val="20"/>
          <w:szCs w:val="20"/>
        </w:rPr>
      </w:pPr>
    </w:p>
    <w:p w:rsidR="0064000C" w:rsidRDefault="0064000C" w:rsidP="00487845">
      <w:pPr>
        <w:rPr>
          <w:b/>
          <w:color w:val="00B050"/>
          <w:sz w:val="20"/>
          <w:szCs w:val="20"/>
        </w:rPr>
      </w:pPr>
    </w:p>
    <w:p w:rsidR="0064000C" w:rsidRDefault="0064000C" w:rsidP="00487845">
      <w:pPr>
        <w:rPr>
          <w:b/>
          <w:color w:val="00B050"/>
          <w:sz w:val="20"/>
          <w:szCs w:val="20"/>
        </w:rPr>
      </w:pPr>
    </w:p>
    <w:p w:rsidR="0064000C" w:rsidRDefault="0064000C" w:rsidP="00487845">
      <w:pPr>
        <w:rPr>
          <w:b/>
          <w:color w:val="00B050"/>
          <w:sz w:val="20"/>
          <w:szCs w:val="20"/>
        </w:rPr>
      </w:pPr>
    </w:p>
    <w:p w:rsidR="00487845" w:rsidRDefault="00487845" w:rsidP="00487845">
      <w:pPr>
        <w:rPr>
          <w:b/>
          <w:color w:val="00B050"/>
          <w:sz w:val="20"/>
          <w:szCs w:val="20"/>
        </w:rPr>
      </w:pPr>
      <w:r w:rsidRPr="00487845">
        <w:rPr>
          <w:b/>
          <w:color w:val="00B050"/>
          <w:sz w:val="20"/>
          <w:szCs w:val="20"/>
        </w:rPr>
        <w:t>Figure 2.</w:t>
      </w:r>
    </w:p>
    <w:p w:rsidR="00487845" w:rsidRPr="00487845" w:rsidRDefault="00487845" w:rsidP="00487845">
      <w:pPr>
        <w:rPr>
          <w:b/>
          <w:color w:val="00B050"/>
          <w:sz w:val="20"/>
          <w:szCs w:val="20"/>
        </w:rPr>
      </w:pPr>
      <w:r w:rsidRPr="00487845">
        <w:rPr>
          <w:b/>
          <w:color w:val="00B050"/>
          <w:sz w:val="20"/>
          <w:szCs w:val="20"/>
        </w:rPr>
        <w:t>Graphical Representation of the Relationship between Compressive Strength and Age.</w:t>
      </w:r>
    </w:p>
    <w:p w:rsidR="00487845" w:rsidRDefault="00487845" w:rsidP="00487845">
      <w:pPr>
        <w:rPr>
          <w:b/>
          <w:color w:val="00B050"/>
          <w:sz w:val="20"/>
          <w:szCs w:val="20"/>
        </w:rPr>
      </w:pPr>
      <w:r w:rsidRPr="00487845">
        <w:rPr>
          <w:b/>
          <w:color w:val="00B050"/>
          <w:sz w:val="20"/>
          <w:szCs w:val="20"/>
        </w:rPr>
        <w:t>Demand, increase in workability and enhanced strength compared to the control sample. The</w:t>
      </w:r>
    </w:p>
    <w:p w:rsidR="001172A2" w:rsidRDefault="00487845" w:rsidP="001172A2">
      <w:pPr>
        <w:rPr>
          <w:b/>
          <w:color w:val="00B050"/>
          <w:sz w:val="20"/>
          <w:szCs w:val="20"/>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5943600" cy="4599432"/>
            <wp:effectExtent l="0" t="0" r="0" b="0"/>
            <wp:wrapSquare wrapText="bothSides"/>
            <wp:docPr id="1" name="image7.jpeg"/>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599432"/>
                    </a:xfrm>
                    <a:prstGeom prst="rect">
                      <a:avLst/>
                    </a:prstGeom>
                  </pic:spPr>
                </pic:pic>
              </a:graphicData>
            </a:graphic>
            <wp14:sizeRelV relativeFrom="margin">
              <wp14:pctHeight>0</wp14:pctHeight>
            </wp14:sizeRelV>
          </wp:anchor>
        </w:drawing>
      </w:r>
    </w:p>
    <w:p w:rsidR="001172A2" w:rsidRDefault="001172A2" w:rsidP="001172A2">
      <w:pPr>
        <w:rPr>
          <w:b/>
          <w:color w:val="00B050"/>
          <w:sz w:val="20"/>
          <w:szCs w:val="20"/>
        </w:rPr>
      </w:pPr>
    </w:p>
    <w:p w:rsidR="001172A2" w:rsidRDefault="001172A2" w:rsidP="001172A2">
      <w:pPr>
        <w:rPr>
          <w:b/>
          <w:color w:val="00B050"/>
          <w:sz w:val="20"/>
          <w:szCs w:val="20"/>
        </w:rPr>
      </w:pPr>
    </w:p>
    <w:p w:rsidR="001172A2" w:rsidRPr="001172A2" w:rsidRDefault="001172A2" w:rsidP="001172A2">
      <w:pPr>
        <w:rPr>
          <w:b/>
          <w:color w:val="00B050"/>
          <w:sz w:val="20"/>
          <w:szCs w:val="20"/>
        </w:rPr>
      </w:pPr>
    </w:p>
    <w:p w:rsidR="001172A2" w:rsidRPr="006779C5" w:rsidRDefault="001172A2" w:rsidP="001172A2">
      <w:pPr>
        <w:spacing w:before="113"/>
        <w:rPr>
          <w:sz w:val="20"/>
          <w:szCs w:val="20"/>
        </w:rPr>
      </w:pPr>
    </w:p>
    <w:p w:rsidR="00996A9E" w:rsidRDefault="00996A9E" w:rsidP="00996A9E">
      <w:pPr>
        <w:pStyle w:val="BodyText"/>
        <w:spacing w:before="4"/>
        <w:rPr>
          <w:sz w:val="16"/>
        </w:rPr>
      </w:pPr>
    </w:p>
    <w:p w:rsidR="00996A9E" w:rsidRPr="00787A25" w:rsidRDefault="00996A9E" w:rsidP="008411EA">
      <w:pPr>
        <w:rPr>
          <w:b/>
        </w:rPr>
      </w:pPr>
    </w:p>
    <w:sectPr w:rsidR="00996A9E" w:rsidRPr="00787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81AD1"/>
    <w:multiLevelType w:val="hybridMultilevel"/>
    <w:tmpl w:val="1394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15EC2"/>
    <w:multiLevelType w:val="hybridMultilevel"/>
    <w:tmpl w:val="25300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94428"/>
    <w:multiLevelType w:val="hybridMultilevel"/>
    <w:tmpl w:val="0950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DF16C8"/>
    <w:multiLevelType w:val="hybridMultilevel"/>
    <w:tmpl w:val="505E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976CB"/>
    <w:multiLevelType w:val="hybridMultilevel"/>
    <w:tmpl w:val="4C3C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6029F"/>
    <w:multiLevelType w:val="hybridMultilevel"/>
    <w:tmpl w:val="74EE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C3"/>
    <w:rsid w:val="001172A2"/>
    <w:rsid w:val="00352611"/>
    <w:rsid w:val="004848F6"/>
    <w:rsid w:val="00487845"/>
    <w:rsid w:val="0064000C"/>
    <w:rsid w:val="006779C5"/>
    <w:rsid w:val="006C65E0"/>
    <w:rsid w:val="00781BD6"/>
    <w:rsid w:val="00787A25"/>
    <w:rsid w:val="008411EA"/>
    <w:rsid w:val="008C3B9E"/>
    <w:rsid w:val="00996A9E"/>
    <w:rsid w:val="00BD0FB2"/>
    <w:rsid w:val="00C728DD"/>
    <w:rsid w:val="00EC51C3"/>
    <w:rsid w:val="00F5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8EB8B-C723-442D-A42C-7AEB161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FB2"/>
  </w:style>
  <w:style w:type="paragraph" w:styleId="Heading1">
    <w:name w:val="heading 1"/>
    <w:basedOn w:val="Normal"/>
    <w:next w:val="Normal"/>
    <w:link w:val="Heading1Char"/>
    <w:uiPriority w:val="9"/>
    <w:qFormat/>
    <w:rsid w:val="00BD0FB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D0FB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D0FB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D0FB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D0FB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D0FB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D0FB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D0FB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D0FB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4848F6"/>
    <w:pPr>
      <w:widowControl w:val="0"/>
      <w:autoSpaceDE w:val="0"/>
      <w:autoSpaceDN w:val="0"/>
      <w:spacing w:after="0" w:line="240" w:lineRule="auto"/>
      <w:ind w:left="143"/>
    </w:pPr>
    <w:rPr>
      <w:rFonts w:ascii="Arial" w:eastAsia="Arial" w:hAnsi="Arial" w:cs="Arial"/>
      <w:lang w:bidi="en-US"/>
    </w:rPr>
  </w:style>
  <w:style w:type="character" w:customStyle="1" w:styleId="Heading1Char">
    <w:name w:val="Heading 1 Char"/>
    <w:basedOn w:val="DefaultParagraphFont"/>
    <w:link w:val="Heading1"/>
    <w:uiPriority w:val="9"/>
    <w:rsid w:val="00BD0FB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D0FB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D0FB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D0FB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D0FB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D0FB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D0FB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D0FB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D0FB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D0FB2"/>
    <w:pPr>
      <w:spacing w:line="240" w:lineRule="auto"/>
    </w:pPr>
    <w:rPr>
      <w:b/>
      <w:bCs/>
      <w:smallCaps/>
      <w:color w:val="44546A" w:themeColor="text2"/>
    </w:rPr>
  </w:style>
  <w:style w:type="paragraph" w:styleId="Title">
    <w:name w:val="Title"/>
    <w:basedOn w:val="Normal"/>
    <w:next w:val="Normal"/>
    <w:link w:val="TitleChar"/>
    <w:uiPriority w:val="10"/>
    <w:qFormat/>
    <w:rsid w:val="00BD0FB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D0FB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D0FB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D0FB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D0FB2"/>
    <w:rPr>
      <w:b/>
      <w:bCs/>
    </w:rPr>
  </w:style>
  <w:style w:type="character" w:styleId="Emphasis">
    <w:name w:val="Emphasis"/>
    <w:basedOn w:val="DefaultParagraphFont"/>
    <w:uiPriority w:val="20"/>
    <w:qFormat/>
    <w:rsid w:val="00BD0FB2"/>
    <w:rPr>
      <w:i/>
      <w:iCs/>
    </w:rPr>
  </w:style>
  <w:style w:type="paragraph" w:styleId="NoSpacing">
    <w:name w:val="No Spacing"/>
    <w:uiPriority w:val="1"/>
    <w:qFormat/>
    <w:rsid w:val="00BD0FB2"/>
    <w:pPr>
      <w:spacing w:after="0" w:line="240" w:lineRule="auto"/>
    </w:pPr>
  </w:style>
  <w:style w:type="paragraph" w:styleId="Quote">
    <w:name w:val="Quote"/>
    <w:basedOn w:val="Normal"/>
    <w:next w:val="Normal"/>
    <w:link w:val="QuoteChar"/>
    <w:uiPriority w:val="29"/>
    <w:qFormat/>
    <w:rsid w:val="00BD0FB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D0FB2"/>
    <w:rPr>
      <w:color w:val="44546A" w:themeColor="text2"/>
      <w:sz w:val="24"/>
      <w:szCs w:val="24"/>
    </w:rPr>
  </w:style>
  <w:style w:type="paragraph" w:styleId="IntenseQuote">
    <w:name w:val="Intense Quote"/>
    <w:basedOn w:val="Normal"/>
    <w:next w:val="Normal"/>
    <w:link w:val="IntenseQuoteChar"/>
    <w:uiPriority w:val="30"/>
    <w:qFormat/>
    <w:rsid w:val="00BD0FB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D0FB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D0FB2"/>
    <w:rPr>
      <w:i/>
      <w:iCs/>
      <w:color w:val="595959" w:themeColor="text1" w:themeTint="A6"/>
    </w:rPr>
  </w:style>
  <w:style w:type="character" w:styleId="IntenseEmphasis">
    <w:name w:val="Intense Emphasis"/>
    <w:basedOn w:val="DefaultParagraphFont"/>
    <w:uiPriority w:val="21"/>
    <w:qFormat/>
    <w:rsid w:val="00BD0FB2"/>
    <w:rPr>
      <w:b/>
      <w:bCs/>
      <w:i/>
      <w:iCs/>
    </w:rPr>
  </w:style>
  <w:style w:type="character" w:styleId="SubtleReference">
    <w:name w:val="Subtle Reference"/>
    <w:basedOn w:val="DefaultParagraphFont"/>
    <w:uiPriority w:val="31"/>
    <w:qFormat/>
    <w:rsid w:val="00BD0FB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D0FB2"/>
    <w:rPr>
      <w:b/>
      <w:bCs/>
      <w:smallCaps/>
      <w:color w:val="44546A" w:themeColor="text2"/>
      <w:u w:val="single"/>
    </w:rPr>
  </w:style>
  <w:style w:type="character" w:styleId="BookTitle">
    <w:name w:val="Book Title"/>
    <w:basedOn w:val="DefaultParagraphFont"/>
    <w:uiPriority w:val="33"/>
    <w:qFormat/>
    <w:rsid w:val="00BD0FB2"/>
    <w:rPr>
      <w:b/>
      <w:bCs/>
      <w:smallCaps/>
      <w:spacing w:val="10"/>
    </w:rPr>
  </w:style>
  <w:style w:type="paragraph" w:styleId="TOCHeading">
    <w:name w:val="TOC Heading"/>
    <w:basedOn w:val="Heading1"/>
    <w:next w:val="Normal"/>
    <w:uiPriority w:val="39"/>
    <w:semiHidden/>
    <w:unhideWhenUsed/>
    <w:qFormat/>
    <w:rsid w:val="00BD0FB2"/>
    <w:pPr>
      <w:outlineLvl w:val="9"/>
    </w:pPr>
  </w:style>
  <w:style w:type="paragraph" w:styleId="ListParagraph">
    <w:name w:val="List Paragraph"/>
    <w:basedOn w:val="Normal"/>
    <w:uiPriority w:val="34"/>
    <w:qFormat/>
    <w:rsid w:val="00781BD6"/>
    <w:pPr>
      <w:ind w:left="720"/>
      <w:contextualSpacing/>
    </w:pPr>
  </w:style>
  <w:style w:type="paragraph" w:styleId="BodyText">
    <w:name w:val="Body Text"/>
    <w:basedOn w:val="Normal"/>
    <w:link w:val="BodyTextChar"/>
    <w:uiPriority w:val="1"/>
    <w:qFormat/>
    <w:rsid w:val="00996A9E"/>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996A9E"/>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82161">
      <w:bodyDiv w:val="1"/>
      <w:marLeft w:val="0"/>
      <w:marRight w:val="0"/>
      <w:marTop w:val="0"/>
      <w:marBottom w:val="0"/>
      <w:divBdr>
        <w:top w:val="none" w:sz="0" w:space="0" w:color="auto"/>
        <w:left w:val="none" w:sz="0" w:space="0" w:color="auto"/>
        <w:bottom w:val="none" w:sz="0" w:space="0" w:color="auto"/>
        <w:right w:val="none" w:sz="0" w:space="0" w:color="auto"/>
      </w:divBdr>
    </w:div>
    <w:div w:id="1747412427">
      <w:bodyDiv w:val="1"/>
      <w:marLeft w:val="0"/>
      <w:marRight w:val="0"/>
      <w:marTop w:val="0"/>
      <w:marBottom w:val="0"/>
      <w:divBdr>
        <w:top w:val="none" w:sz="0" w:space="0" w:color="auto"/>
        <w:left w:val="none" w:sz="0" w:space="0" w:color="auto"/>
        <w:bottom w:val="none" w:sz="0" w:space="0" w:color="auto"/>
        <w:right w:val="none" w:sz="0" w:space="0" w:color="auto"/>
      </w:divBdr>
    </w:div>
    <w:div w:id="1830290033">
      <w:bodyDiv w:val="1"/>
      <w:marLeft w:val="0"/>
      <w:marRight w:val="0"/>
      <w:marTop w:val="0"/>
      <w:marBottom w:val="0"/>
      <w:divBdr>
        <w:top w:val="none" w:sz="0" w:space="0" w:color="auto"/>
        <w:left w:val="none" w:sz="0" w:space="0" w:color="auto"/>
        <w:bottom w:val="none" w:sz="0" w:space="0" w:color="auto"/>
        <w:right w:val="none" w:sz="0" w:space="0" w:color="auto"/>
      </w:divBdr>
    </w:div>
    <w:div w:id="18519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MISS ANANDITA</vt:lpstr>
    </vt:vector>
  </TitlesOfParts>
  <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 ANANDITA</dc:title>
  <dc:subject/>
  <dc:creator>JOHNSONE</dc:creator>
  <cp:keywords/>
  <dc:description/>
  <cp:lastModifiedBy>JOHNSONE</cp:lastModifiedBy>
  <cp:revision>15</cp:revision>
  <dcterms:created xsi:type="dcterms:W3CDTF">2020-04-05T07:03:00Z</dcterms:created>
  <dcterms:modified xsi:type="dcterms:W3CDTF">2020-04-05T09:24:00Z</dcterms:modified>
</cp:coreProperties>
</file>